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30" w:lineRule="exact"/>
        <w:ind w:firstLine="220" w:firstLineChars="50"/>
        <w:jc w:val="center"/>
        <w:rPr>
          <w:rFonts w:hint="eastAsia" w:ascii="方正小标宋_GBK" w:hAnsi="方正小标宋_GBK" w:eastAsia="方正小标宋_GBK" w:cs="方正小标宋_GBK"/>
          <w:b w:val="0"/>
          <w:bCs/>
          <w:sz w:val="44"/>
          <w:szCs w:val="44"/>
        </w:rPr>
      </w:pPr>
      <w:bookmarkStart w:id="0" w:name="_GoBack"/>
      <w:bookmarkEnd w:id="0"/>
      <w:r>
        <w:rPr>
          <w:rFonts w:hint="eastAsia" w:ascii="方正小标宋_GBK" w:hAnsi="方正小标宋_GBK" w:eastAsia="方正小标宋_GBK" w:cs="方正小标宋_GBK"/>
          <w:b w:val="0"/>
          <w:bCs/>
          <w:sz w:val="44"/>
          <w:szCs w:val="44"/>
        </w:rPr>
        <w:t>海南省财政支出项目绩效自评报告</w:t>
      </w:r>
    </w:p>
    <w:p>
      <w:pPr>
        <w:spacing w:line="530" w:lineRule="exact"/>
        <w:ind w:firstLine="560"/>
        <w:jc w:val="center"/>
        <w:rPr>
          <w:rFonts w:hint="eastAsia"/>
          <w:szCs w:val="32"/>
          <w:lang w:eastAsia="zh-CN"/>
        </w:rPr>
      </w:pPr>
      <w:r>
        <w:rPr>
          <w:rFonts w:hint="eastAsia"/>
          <w:szCs w:val="32"/>
          <w:lang w:eastAsia="zh-CN"/>
        </w:rPr>
        <w:t>（海南省好校长好教师培训工程）</w:t>
      </w:r>
    </w:p>
    <w:p>
      <w:pPr>
        <w:pStyle w:val="2"/>
        <w:rPr>
          <w:rFonts w:hint="eastAsia"/>
          <w:lang w:eastAsia="zh-CN"/>
        </w:rPr>
      </w:pPr>
    </w:p>
    <w:p>
      <w:pPr>
        <w:spacing w:line="530" w:lineRule="exact"/>
        <w:ind w:firstLine="640" w:firstLineChars="200"/>
        <w:rPr>
          <w:rFonts w:hint="eastAsia" w:ascii="黑体" w:hAnsi="仿宋" w:eastAsia="黑体"/>
          <w:szCs w:val="32"/>
        </w:rPr>
      </w:pPr>
      <w:r>
        <w:rPr>
          <w:rFonts w:hint="eastAsia" w:ascii="黑体" w:hAnsi="仿宋" w:eastAsia="黑体"/>
          <w:szCs w:val="32"/>
        </w:rPr>
        <w:t>一、项目概况</w:t>
      </w:r>
    </w:p>
    <w:p>
      <w:pPr>
        <w:spacing w:line="530" w:lineRule="exact"/>
        <w:ind w:firstLine="640" w:firstLineChars="200"/>
        <w:rPr>
          <w:rFonts w:hint="eastAsia" w:hAnsi="仿宋"/>
          <w:szCs w:val="32"/>
        </w:rPr>
      </w:pPr>
      <w:r>
        <w:rPr>
          <w:rFonts w:hint="eastAsia" w:hAnsi="仿宋"/>
          <w:szCs w:val="32"/>
        </w:rPr>
        <w:t>（一）项目基本情况：立项情况、实施主体、项目资金及主要内容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为贯彻落实《国家中长期教育改革和发展规划纲要（2010—2020年）》、《国务院关于加强教师队伍建设的意见》（国发〔2012〕41号）</w:t>
      </w:r>
      <w:r>
        <w:rPr>
          <w:rFonts w:hint="eastAsia" w:ascii="宋体" w:hAnsi="宋体" w:eastAsia="宋体" w:cs="宋体"/>
          <w:sz w:val="28"/>
          <w:szCs w:val="28"/>
          <w:lang w:eastAsia="zh-CN"/>
        </w:rPr>
        <w:t>《</w:t>
      </w:r>
      <w:r>
        <w:rPr>
          <w:rFonts w:hint="eastAsia" w:ascii="宋体" w:hAnsi="宋体" w:eastAsia="宋体" w:cs="宋体"/>
          <w:sz w:val="28"/>
          <w:szCs w:val="28"/>
        </w:rPr>
        <w:t>中共中央 国务院关于全面深化新时代教师队伍建设改革的意见</w:t>
      </w:r>
      <w:r>
        <w:rPr>
          <w:rFonts w:hint="eastAsia" w:ascii="宋体" w:hAnsi="宋体" w:eastAsia="宋体" w:cs="宋体"/>
          <w:sz w:val="28"/>
          <w:szCs w:val="28"/>
          <w:lang w:eastAsia="zh-CN"/>
        </w:rPr>
        <w:t>》</w:t>
      </w:r>
      <w:r>
        <w:rPr>
          <w:rFonts w:hint="eastAsia" w:ascii="宋体" w:hAnsi="宋体" w:eastAsia="宋体" w:cs="宋体"/>
          <w:sz w:val="28"/>
          <w:szCs w:val="28"/>
        </w:rPr>
        <w:t>精神，根据海南省教育厅关于印发《海南省中小学“好校长、好教师”培养工程（2015-2020年）实施方案》的通知（琼教师〔2015〕13号）</w:t>
      </w:r>
      <w:r>
        <w:rPr>
          <w:rFonts w:hint="eastAsia" w:ascii="宋体" w:hAnsi="宋体" w:eastAsia="宋体" w:cs="宋体"/>
          <w:sz w:val="28"/>
          <w:szCs w:val="28"/>
          <w:lang w:eastAsia="zh-CN"/>
        </w:rPr>
        <w:t>、《海南省教育厅</w:t>
      </w:r>
      <w:r>
        <w:rPr>
          <w:rFonts w:hint="eastAsia" w:ascii="宋体" w:hAnsi="宋体" w:eastAsia="宋体" w:cs="宋体"/>
          <w:sz w:val="28"/>
          <w:szCs w:val="28"/>
        </w:rPr>
        <w:t>关于下达2020年海南省中小学“好校长、好教师”培养工程项目任务清单的通知</w:t>
      </w:r>
      <w:r>
        <w:rPr>
          <w:rFonts w:hint="eastAsia" w:ascii="宋体" w:hAnsi="宋体" w:eastAsia="宋体" w:cs="宋体"/>
          <w:sz w:val="28"/>
          <w:szCs w:val="28"/>
          <w:lang w:eastAsia="zh-CN"/>
        </w:rPr>
        <w:t>》</w:t>
      </w:r>
      <w:r>
        <w:rPr>
          <w:rFonts w:hint="eastAsia" w:ascii="宋体" w:hAnsi="宋体" w:eastAsia="宋体" w:cs="宋体"/>
          <w:sz w:val="28"/>
          <w:szCs w:val="28"/>
        </w:rPr>
        <w:t>要求，加强海南省中学教师队伍建设，建立健全</w:t>
      </w:r>
      <w:r>
        <w:rPr>
          <w:rFonts w:hint="eastAsia" w:ascii="宋体" w:hAnsi="宋体" w:eastAsia="宋体" w:cs="宋体"/>
          <w:sz w:val="28"/>
          <w:szCs w:val="28"/>
          <w:lang w:eastAsia="zh-CN"/>
        </w:rPr>
        <w:t>校长、</w:t>
      </w:r>
      <w:r>
        <w:rPr>
          <w:rFonts w:hint="eastAsia" w:ascii="宋体" w:hAnsi="宋体" w:eastAsia="宋体" w:cs="宋体"/>
          <w:sz w:val="28"/>
          <w:szCs w:val="28"/>
        </w:rPr>
        <w:t>教师专业成长梯队，坚持培养培训与使用相结合，充分发挥</w:t>
      </w:r>
      <w:r>
        <w:rPr>
          <w:rFonts w:hint="eastAsia" w:ascii="宋体" w:hAnsi="宋体" w:eastAsia="宋体" w:cs="宋体"/>
          <w:sz w:val="28"/>
          <w:szCs w:val="28"/>
          <w:lang w:eastAsia="zh-CN"/>
        </w:rPr>
        <w:t>优秀校长、教师</w:t>
      </w:r>
      <w:r>
        <w:rPr>
          <w:rFonts w:hint="eastAsia" w:ascii="宋体" w:hAnsi="宋体" w:eastAsia="宋体" w:cs="宋体"/>
          <w:sz w:val="28"/>
          <w:szCs w:val="28"/>
        </w:rPr>
        <w:t>的示范、引领、辐射作用</w:t>
      </w:r>
      <w:r>
        <w:rPr>
          <w:rFonts w:hint="eastAsia" w:ascii="宋体" w:hAnsi="宋体" w:eastAsia="宋体" w:cs="宋体"/>
          <w:sz w:val="28"/>
          <w:szCs w:val="28"/>
          <w:lang w:val="en-US" w:eastAsia="zh-CN"/>
        </w:rPr>
        <w:t>,实施</w:t>
      </w:r>
      <w:r>
        <w:rPr>
          <w:rFonts w:hint="eastAsia" w:ascii="宋体" w:hAnsi="宋体" w:eastAsia="宋体" w:cs="宋体"/>
          <w:sz w:val="28"/>
          <w:szCs w:val="28"/>
        </w:rPr>
        <w:t>2020年海南省中小学“好校长、好教师”培养工程项目。</w:t>
      </w:r>
    </w:p>
    <w:p>
      <w:pPr>
        <w:spacing w:line="530" w:lineRule="exact"/>
        <w:ind w:firstLine="640" w:firstLineChars="200"/>
        <w:rPr>
          <w:rFonts w:hint="eastAsia" w:hAnsi="仿宋"/>
          <w:szCs w:val="32"/>
        </w:rPr>
      </w:pPr>
      <w:r>
        <w:rPr>
          <w:rFonts w:hint="eastAsia" w:hAnsi="仿宋"/>
          <w:szCs w:val="32"/>
        </w:rPr>
        <w:t>（二）项目年度预算绩效目标和绩效指标设定情况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校长培训绩效目标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通过培训，提升</w:t>
      </w:r>
      <w:r>
        <w:rPr>
          <w:rFonts w:hint="eastAsia" w:ascii="宋体" w:hAnsi="宋体" w:eastAsia="宋体" w:cs="宋体"/>
          <w:sz w:val="28"/>
          <w:szCs w:val="28"/>
          <w:lang w:eastAsia="zh-CN"/>
        </w:rPr>
        <w:t>校长</w:t>
      </w:r>
      <w:r>
        <w:rPr>
          <w:rFonts w:hint="eastAsia" w:ascii="宋体" w:hAnsi="宋体" w:eastAsia="宋体" w:cs="宋体"/>
          <w:sz w:val="28"/>
          <w:szCs w:val="28"/>
        </w:rPr>
        <w:t>理想信念，提高道德素养，了解校长专业职责，造就一支品德高尚、业务精湛、治校有方、人民满意的专家型中学校长队伍，探索建立“省级骨干校长—名校长”的高层次管理人才专业发展机制，发挥</w:t>
      </w:r>
      <w:r>
        <w:rPr>
          <w:rFonts w:hint="eastAsia" w:ascii="宋体" w:hAnsi="宋体" w:eastAsia="宋体" w:cs="宋体"/>
          <w:sz w:val="28"/>
          <w:szCs w:val="28"/>
          <w:lang w:eastAsia="zh-CN"/>
        </w:rPr>
        <w:t>优秀</w:t>
      </w:r>
      <w:r>
        <w:rPr>
          <w:rFonts w:hint="eastAsia" w:ascii="宋体" w:hAnsi="宋体" w:eastAsia="宋体" w:cs="宋体"/>
          <w:sz w:val="28"/>
          <w:szCs w:val="28"/>
        </w:rPr>
        <w:t>校长的示范引领作用，促进我省中学校长队伍整体素质的不断提高。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教师培训绩效目标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rPr>
      </w:pPr>
      <w:r>
        <w:rPr>
          <w:rFonts w:hint="eastAsia" w:ascii="宋体" w:hAnsi="宋体" w:eastAsia="宋体" w:cs="宋体"/>
          <w:sz w:val="28"/>
          <w:szCs w:val="28"/>
          <w:lang w:eastAsia="zh-CN"/>
        </w:rPr>
        <w:t>通过培训，</w:t>
      </w:r>
      <w:r>
        <w:rPr>
          <w:rFonts w:hint="eastAsia" w:ascii="宋体" w:hAnsi="宋体" w:eastAsia="宋体" w:cs="宋体"/>
          <w:sz w:val="28"/>
          <w:szCs w:val="28"/>
        </w:rPr>
        <w:t>进一步开阔专业视野</w:t>
      </w:r>
      <w:r>
        <w:rPr>
          <w:rFonts w:hint="eastAsia" w:ascii="宋体" w:hAnsi="宋体" w:eastAsia="宋体" w:cs="宋体"/>
          <w:sz w:val="28"/>
          <w:szCs w:val="28"/>
          <w:lang w:eastAsia="zh-CN"/>
        </w:rPr>
        <w:t>，提升学员师德素养和</w:t>
      </w:r>
      <w:r>
        <w:rPr>
          <w:rFonts w:hint="eastAsia" w:ascii="宋体" w:hAnsi="宋体" w:eastAsia="宋体" w:cs="宋体"/>
          <w:sz w:val="28"/>
          <w:szCs w:val="28"/>
        </w:rPr>
        <w:t>专业能力，提升成员的反思意识和创新能力，搭建学员交流平台，构建学习共同体，发挥</w:t>
      </w:r>
      <w:r>
        <w:rPr>
          <w:rFonts w:hint="eastAsia" w:ascii="宋体" w:hAnsi="宋体" w:eastAsia="宋体" w:cs="宋体"/>
          <w:sz w:val="28"/>
          <w:szCs w:val="28"/>
          <w:lang w:eastAsia="zh-CN"/>
        </w:rPr>
        <w:t>优秀教师</w:t>
      </w:r>
      <w:r>
        <w:rPr>
          <w:rFonts w:hint="eastAsia" w:ascii="宋体" w:hAnsi="宋体" w:eastAsia="宋体" w:cs="宋体"/>
          <w:sz w:val="28"/>
          <w:szCs w:val="28"/>
        </w:rPr>
        <w:t>在教育教学、教研教改、教师培训方面的示范、引领、辐射作用，打造一批师德高尚、理念先进、教学风格鲜明、教育科研能力突出、教育艺术精湛的</w:t>
      </w:r>
      <w:r>
        <w:rPr>
          <w:rFonts w:hint="eastAsia" w:ascii="宋体" w:hAnsi="宋体" w:eastAsia="宋体" w:cs="宋体"/>
          <w:sz w:val="28"/>
          <w:szCs w:val="28"/>
          <w:lang w:eastAsia="zh-CN"/>
        </w:rPr>
        <w:t>优秀</w:t>
      </w:r>
      <w:r>
        <w:rPr>
          <w:rFonts w:hint="eastAsia" w:ascii="宋体" w:hAnsi="宋体" w:eastAsia="宋体" w:cs="宋体"/>
          <w:sz w:val="28"/>
          <w:szCs w:val="28"/>
        </w:rPr>
        <w:t>教师队伍。</w:t>
      </w:r>
    </w:p>
    <w:p>
      <w:pPr>
        <w:spacing w:line="530" w:lineRule="exact"/>
        <w:ind w:firstLine="640" w:firstLineChars="200"/>
        <w:rPr>
          <w:rFonts w:hint="eastAsia" w:ascii="黑体" w:hAnsi="仿宋" w:eastAsia="黑体"/>
          <w:szCs w:val="32"/>
        </w:rPr>
      </w:pPr>
      <w:r>
        <w:rPr>
          <w:rFonts w:hint="eastAsia" w:ascii="黑体" w:hAnsi="仿宋" w:eastAsia="黑体"/>
          <w:szCs w:val="32"/>
        </w:rPr>
        <w:t>二、项目决策及资金使用管理情况</w:t>
      </w:r>
    </w:p>
    <w:p>
      <w:pPr>
        <w:spacing w:line="530" w:lineRule="exact"/>
        <w:ind w:firstLine="640" w:firstLineChars="200"/>
        <w:rPr>
          <w:rFonts w:hint="eastAsia" w:hAnsi="仿宋"/>
          <w:szCs w:val="32"/>
        </w:rPr>
      </w:pPr>
      <w:r>
        <w:rPr>
          <w:rFonts w:hint="eastAsia" w:hAnsi="仿宋"/>
          <w:szCs w:val="32"/>
        </w:rPr>
        <w:t>（一）项目决策情况（包括决策过程和结果）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项目由海南省教育厅下达，</w:t>
      </w:r>
      <w:r>
        <w:rPr>
          <w:rFonts w:hint="eastAsia" w:ascii="宋体" w:hAnsi="宋体" w:eastAsia="宋体" w:cs="宋体"/>
          <w:sz w:val="28"/>
          <w:szCs w:val="28"/>
        </w:rPr>
        <w:t>根据《海南省教育厅关于下达2021年海南省中小学“好校长、好教师”培养工程项目任务清单的通知》的要求，</w:t>
      </w:r>
      <w:r>
        <w:rPr>
          <w:rFonts w:hint="eastAsia" w:ascii="宋体" w:hAnsi="宋体" w:eastAsia="宋体" w:cs="宋体"/>
          <w:sz w:val="28"/>
          <w:szCs w:val="28"/>
          <w:lang w:eastAsia="zh-CN"/>
        </w:rPr>
        <w:t>继续教育</w:t>
      </w:r>
      <w:r>
        <w:rPr>
          <w:rFonts w:hint="eastAsia" w:ascii="宋体" w:hAnsi="宋体" w:eastAsia="宋体" w:cs="宋体"/>
          <w:sz w:val="28"/>
          <w:szCs w:val="28"/>
        </w:rPr>
        <w:t>学院组织有关专家对项目进行研究、论证及调研，制定了项目申报书及实施方案，报送给海南省教育研究培训院，由该院组织专家对申报书进行评审，我学院再根据评审结果对项目实施方案进行修改完善</w:t>
      </w:r>
      <w:r>
        <w:rPr>
          <w:rFonts w:hint="eastAsia" w:ascii="宋体" w:hAnsi="宋体" w:eastAsia="宋体" w:cs="宋体"/>
          <w:sz w:val="28"/>
          <w:szCs w:val="28"/>
          <w:lang w:eastAsia="zh-CN"/>
        </w:rPr>
        <w:t>并实施项目。</w:t>
      </w:r>
    </w:p>
    <w:p>
      <w:pPr>
        <w:spacing w:line="530" w:lineRule="exact"/>
        <w:ind w:firstLine="640" w:firstLineChars="200"/>
        <w:rPr>
          <w:rFonts w:hint="eastAsia" w:hAnsi="仿宋"/>
          <w:szCs w:val="32"/>
        </w:rPr>
      </w:pPr>
      <w:r>
        <w:rPr>
          <w:rFonts w:hint="eastAsia" w:hAnsi="仿宋"/>
          <w:szCs w:val="32"/>
        </w:rPr>
        <w:t>（二）项目资金（包括财政资金、自筹资金等）安排落实、总投入等情况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本项目系财政全额拨款项目，项目经费总额</w:t>
      </w:r>
      <w:r>
        <w:rPr>
          <w:rFonts w:hint="eastAsia" w:ascii="宋体" w:hAnsi="宋体" w:eastAsia="宋体" w:cs="宋体"/>
          <w:sz w:val="28"/>
          <w:szCs w:val="28"/>
          <w:lang w:val="en-US" w:eastAsia="zh-CN"/>
        </w:rPr>
        <w:t>5106800.00</w:t>
      </w:r>
      <w:r>
        <w:rPr>
          <w:rFonts w:hint="eastAsia" w:ascii="宋体" w:hAnsi="宋体" w:eastAsia="宋体" w:cs="宋体"/>
          <w:sz w:val="28"/>
          <w:szCs w:val="28"/>
        </w:rPr>
        <w:t>元，全部由省财政拨款，经费到位及时。</w:t>
      </w:r>
    </w:p>
    <w:p>
      <w:pPr>
        <w:numPr>
          <w:ilvl w:val="0"/>
          <w:numId w:val="1"/>
        </w:numPr>
        <w:spacing w:line="530" w:lineRule="exact"/>
        <w:ind w:firstLine="640" w:firstLineChars="200"/>
        <w:rPr>
          <w:rFonts w:hint="eastAsia" w:hAnsi="仿宋"/>
          <w:szCs w:val="32"/>
        </w:rPr>
      </w:pPr>
      <w:r>
        <w:rPr>
          <w:rFonts w:hint="eastAsia" w:hAnsi="仿宋"/>
          <w:szCs w:val="32"/>
        </w:rPr>
        <w:t>项目资金（主要是指财政资金）实际使用情况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项目经费全部用于项目的实施，包括项目的前期准备、调研，以及项目实施过程中的培训费（包括师资费、劳务费、差旅费、住宿费、交通费、培训费、场地费、图书资料费、招标费、保险费、邮寄费等）。项目经费总额</w:t>
      </w:r>
      <w:r>
        <w:rPr>
          <w:rFonts w:hint="eastAsia" w:ascii="宋体" w:hAnsi="宋体" w:eastAsia="宋体" w:cs="宋体"/>
          <w:sz w:val="28"/>
          <w:szCs w:val="28"/>
          <w:lang w:val="en-US" w:eastAsia="zh-CN"/>
        </w:rPr>
        <w:t>5106800</w:t>
      </w:r>
      <w:r>
        <w:rPr>
          <w:rFonts w:hint="eastAsia" w:ascii="宋体" w:hAnsi="宋体" w:eastAsia="宋体" w:cs="宋体"/>
          <w:sz w:val="28"/>
          <w:szCs w:val="28"/>
        </w:rPr>
        <w:t>元、培训校长</w:t>
      </w:r>
      <w:r>
        <w:rPr>
          <w:rFonts w:hint="eastAsia" w:ascii="宋体" w:hAnsi="宋体" w:eastAsia="宋体" w:cs="宋体"/>
          <w:sz w:val="28"/>
          <w:szCs w:val="28"/>
          <w:lang w:val="en-US" w:eastAsia="zh-CN"/>
        </w:rPr>
        <w:t>430</w:t>
      </w:r>
      <w:r>
        <w:rPr>
          <w:rFonts w:hint="eastAsia" w:ascii="宋体" w:hAnsi="宋体" w:eastAsia="宋体" w:cs="宋体"/>
          <w:sz w:val="28"/>
          <w:szCs w:val="28"/>
        </w:rPr>
        <w:t>人、教师</w:t>
      </w:r>
      <w:r>
        <w:rPr>
          <w:rFonts w:hint="eastAsia" w:ascii="宋体" w:hAnsi="宋体" w:eastAsia="宋体" w:cs="宋体"/>
          <w:sz w:val="28"/>
          <w:szCs w:val="28"/>
          <w:lang w:val="en-US" w:eastAsia="zh-CN"/>
        </w:rPr>
        <w:t>1915</w:t>
      </w:r>
      <w:r>
        <w:rPr>
          <w:rFonts w:hint="eastAsia" w:ascii="宋体" w:hAnsi="宋体" w:eastAsia="宋体" w:cs="宋体"/>
          <w:sz w:val="28"/>
          <w:szCs w:val="28"/>
        </w:rPr>
        <w:t>人。项目严格按照要求制定项目预算，并严格按照预算支出，没有超预算支出或非预算项目支出。截止202</w:t>
      </w:r>
      <w:r>
        <w:rPr>
          <w:rFonts w:hint="eastAsia" w:ascii="宋体" w:hAnsi="宋体" w:eastAsia="宋体" w:cs="宋体"/>
          <w:sz w:val="28"/>
          <w:szCs w:val="28"/>
          <w:lang w:val="en-US" w:eastAsia="zh-CN"/>
        </w:rPr>
        <w:t>1</w:t>
      </w:r>
      <w:r>
        <w:rPr>
          <w:rFonts w:hint="eastAsia" w:ascii="宋体" w:hAnsi="宋体" w:eastAsia="宋体" w:cs="宋体"/>
          <w:sz w:val="28"/>
          <w:szCs w:val="28"/>
        </w:rPr>
        <w:t>年12月31日，经费支出率95.77%。具体的预算、支出与使用说明见下表：</w:t>
      </w:r>
    </w:p>
    <w:tbl>
      <w:tblPr>
        <w:tblStyle w:val="4"/>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3852"/>
        <w:gridCol w:w="1572"/>
        <w:gridCol w:w="1536"/>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blHeader/>
          <w:jc w:val="center"/>
        </w:trPr>
        <w:tc>
          <w:tcPr>
            <w:tcW w:w="672" w:type="dxa"/>
            <w:vMerge w:val="restart"/>
            <w:noWrap w:val="0"/>
            <w:vAlign w:val="center"/>
          </w:tcPr>
          <w:p>
            <w:pPr>
              <w:widowControl/>
              <w:spacing w:line="360" w:lineRule="auto"/>
              <w:jc w:val="left"/>
              <w:textAlignment w:val="center"/>
              <w:rPr>
                <w:rFonts w:ascii="宋体" w:hAnsi="宋体" w:eastAsia="宋体" w:cs="宋体"/>
                <w:bCs/>
                <w:kern w:val="21"/>
                <w:sz w:val="21"/>
                <w:szCs w:val="21"/>
              </w:rPr>
            </w:pPr>
            <w:r>
              <w:rPr>
                <w:rFonts w:hint="eastAsia" w:ascii="宋体" w:hAnsi="宋体" w:eastAsia="宋体" w:cs="宋体"/>
                <w:bCs/>
                <w:kern w:val="21"/>
                <w:sz w:val="21"/>
                <w:szCs w:val="21"/>
              </w:rPr>
              <w:t>序号</w:t>
            </w:r>
          </w:p>
        </w:tc>
        <w:tc>
          <w:tcPr>
            <w:tcW w:w="3852" w:type="dxa"/>
            <w:vMerge w:val="restart"/>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子项目名称</w:t>
            </w:r>
          </w:p>
        </w:tc>
        <w:tc>
          <w:tcPr>
            <w:tcW w:w="1572" w:type="dxa"/>
            <w:vMerge w:val="restart"/>
            <w:noWrap w:val="0"/>
            <w:vAlign w:val="center"/>
          </w:tcPr>
          <w:p>
            <w:pPr>
              <w:widowControl/>
              <w:spacing w:line="360" w:lineRule="auto"/>
              <w:jc w:val="center"/>
              <w:textAlignment w:val="center"/>
              <w:rPr>
                <w:rFonts w:hint="eastAsia" w:ascii="宋体" w:hAnsi="宋体" w:eastAsia="宋体" w:cs="宋体"/>
                <w:bCs/>
                <w:kern w:val="21"/>
                <w:sz w:val="21"/>
                <w:szCs w:val="21"/>
                <w:lang w:eastAsia="zh-CN"/>
              </w:rPr>
            </w:pPr>
            <w:r>
              <w:rPr>
                <w:rFonts w:hint="eastAsia" w:ascii="宋体" w:hAnsi="宋体" w:eastAsia="宋体" w:cs="宋体"/>
                <w:bCs/>
                <w:kern w:val="21"/>
                <w:sz w:val="21"/>
                <w:szCs w:val="21"/>
              </w:rPr>
              <w:t>预算数</w:t>
            </w:r>
            <w:r>
              <w:rPr>
                <w:rFonts w:hint="eastAsia" w:ascii="宋体" w:hAnsi="宋体" w:eastAsia="宋体" w:cs="宋体"/>
                <w:bCs/>
                <w:kern w:val="21"/>
                <w:sz w:val="21"/>
                <w:szCs w:val="21"/>
                <w:lang w:eastAsia="zh-CN"/>
              </w:rPr>
              <w:t>（元）</w:t>
            </w:r>
          </w:p>
        </w:tc>
        <w:tc>
          <w:tcPr>
            <w:tcW w:w="1536" w:type="dxa"/>
            <w:vMerge w:val="restart"/>
            <w:noWrap w:val="0"/>
            <w:vAlign w:val="center"/>
          </w:tcPr>
          <w:p>
            <w:pPr>
              <w:widowControl/>
              <w:spacing w:line="360" w:lineRule="auto"/>
              <w:jc w:val="center"/>
              <w:textAlignment w:val="center"/>
              <w:rPr>
                <w:rFonts w:hint="eastAsia" w:ascii="宋体" w:hAnsi="宋体" w:eastAsia="宋体" w:cs="宋体"/>
                <w:bCs/>
                <w:kern w:val="21"/>
                <w:sz w:val="21"/>
                <w:szCs w:val="21"/>
                <w:lang w:eastAsia="zh-CN"/>
              </w:rPr>
            </w:pPr>
            <w:r>
              <w:rPr>
                <w:rFonts w:hint="eastAsia" w:ascii="宋体" w:hAnsi="宋体" w:eastAsia="宋体" w:cs="宋体"/>
                <w:bCs/>
                <w:kern w:val="21"/>
                <w:sz w:val="21"/>
                <w:szCs w:val="21"/>
              </w:rPr>
              <w:t>支出数</w:t>
            </w:r>
            <w:r>
              <w:rPr>
                <w:rFonts w:hint="eastAsia" w:ascii="宋体" w:hAnsi="宋体" w:eastAsia="宋体" w:cs="宋体"/>
                <w:bCs/>
                <w:kern w:val="21"/>
                <w:sz w:val="21"/>
                <w:szCs w:val="21"/>
                <w:lang w:eastAsia="zh-CN"/>
              </w:rPr>
              <w:t>（元）</w:t>
            </w:r>
          </w:p>
        </w:tc>
        <w:tc>
          <w:tcPr>
            <w:tcW w:w="984" w:type="dxa"/>
            <w:vMerge w:val="restart"/>
            <w:noWrap w:val="0"/>
            <w:vAlign w:val="center"/>
          </w:tcPr>
          <w:p>
            <w:pPr>
              <w:widowControl/>
              <w:spacing w:line="360" w:lineRule="auto"/>
              <w:jc w:val="left"/>
              <w:textAlignment w:val="center"/>
              <w:rPr>
                <w:rFonts w:ascii="宋体" w:hAnsi="宋体" w:eastAsia="宋体" w:cs="宋体"/>
                <w:bCs/>
                <w:kern w:val="21"/>
                <w:sz w:val="21"/>
                <w:szCs w:val="21"/>
              </w:rPr>
            </w:pPr>
            <w:r>
              <w:rPr>
                <w:rFonts w:hint="eastAsia" w:ascii="宋体" w:hAnsi="宋体" w:eastAsia="宋体" w:cs="宋体"/>
                <w:bCs/>
                <w:kern w:val="21"/>
                <w:sz w:val="21"/>
                <w:szCs w:val="21"/>
              </w:rPr>
              <w:t>执行进度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blHeader/>
          <w:jc w:val="center"/>
        </w:trPr>
        <w:tc>
          <w:tcPr>
            <w:tcW w:w="672" w:type="dxa"/>
            <w:vMerge w:val="continue"/>
            <w:noWrap w:val="0"/>
            <w:vAlign w:val="center"/>
          </w:tcPr>
          <w:p>
            <w:pPr>
              <w:spacing w:line="360" w:lineRule="auto"/>
              <w:rPr>
                <w:rFonts w:ascii="宋体" w:hAnsi="宋体" w:eastAsia="宋体" w:cs="宋体"/>
                <w:color w:val="000000"/>
                <w:sz w:val="21"/>
                <w:szCs w:val="21"/>
              </w:rPr>
            </w:pPr>
          </w:p>
        </w:tc>
        <w:tc>
          <w:tcPr>
            <w:tcW w:w="3852" w:type="dxa"/>
            <w:vMerge w:val="continue"/>
            <w:noWrap w:val="0"/>
            <w:vAlign w:val="center"/>
          </w:tcPr>
          <w:p>
            <w:pPr>
              <w:spacing w:line="360" w:lineRule="auto"/>
              <w:rPr>
                <w:rFonts w:ascii="宋体" w:hAnsi="宋体" w:eastAsia="宋体" w:cs="宋体"/>
                <w:color w:val="000000"/>
                <w:sz w:val="21"/>
                <w:szCs w:val="21"/>
              </w:rPr>
            </w:pPr>
          </w:p>
        </w:tc>
        <w:tc>
          <w:tcPr>
            <w:tcW w:w="1572" w:type="dxa"/>
            <w:vMerge w:val="continue"/>
            <w:noWrap w:val="0"/>
            <w:vAlign w:val="center"/>
          </w:tcPr>
          <w:p>
            <w:pPr>
              <w:spacing w:line="360" w:lineRule="auto"/>
              <w:rPr>
                <w:rFonts w:ascii="宋体" w:hAnsi="宋体" w:eastAsia="宋体" w:cs="宋体"/>
                <w:color w:val="000000"/>
                <w:sz w:val="21"/>
                <w:szCs w:val="21"/>
              </w:rPr>
            </w:pPr>
          </w:p>
        </w:tc>
        <w:tc>
          <w:tcPr>
            <w:tcW w:w="1536" w:type="dxa"/>
            <w:vMerge w:val="continue"/>
            <w:noWrap w:val="0"/>
            <w:vAlign w:val="center"/>
          </w:tcPr>
          <w:p>
            <w:pPr>
              <w:spacing w:line="360" w:lineRule="auto"/>
              <w:rPr>
                <w:rFonts w:ascii="宋体" w:hAnsi="宋体" w:eastAsia="宋体" w:cs="宋体"/>
                <w:color w:val="000000"/>
                <w:sz w:val="21"/>
                <w:szCs w:val="21"/>
              </w:rPr>
            </w:pPr>
          </w:p>
        </w:tc>
        <w:tc>
          <w:tcPr>
            <w:tcW w:w="984" w:type="dxa"/>
            <w:vMerge w:val="continue"/>
            <w:noWrap w:val="0"/>
            <w:vAlign w:val="center"/>
          </w:tcPr>
          <w:p>
            <w:pPr>
              <w:spacing w:line="360" w:lineRule="auto"/>
              <w:rPr>
                <w:rFonts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 w:hRule="atLeast"/>
          <w:jc w:val="center"/>
        </w:trPr>
        <w:tc>
          <w:tcPr>
            <w:tcW w:w="672" w:type="dxa"/>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1</w:t>
            </w:r>
          </w:p>
        </w:tc>
        <w:tc>
          <w:tcPr>
            <w:tcW w:w="3852"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中学校长任职资格培训（80人，集中培训15天、网络研修180学时）</w:t>
            </w:r>
          </w:p>
        </w:tc>
        <w:tc>
          <w:tcPr>
            <w:tcW w:w="1572"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523200</w:t>
            </w:r>
          </w:p>
        </w:tc>
        <w:tc>
          <w:tcPr>
            <w:tcW w:w="1536"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510674.96</w:t>
            </w:r>
          </w:p>
        </w:tc>
        <w:tc>
          <w:tcPr>
            <w:tcW w:w="984" w:type="dxa"/>
            <w:noWrap w:val="0"/>
            <w:vAlign w:val="center"/>
          </w:tcPr>
          <w:p>
            <w:pPr>
              <w:keepNext w:val="0"/>
              <w:keepLines w:val="0"/>
              <w:widowControl/>
              <w:suppressLineNumbers w:val="0"/>
              <w:spacing w:line="360" w:lineRule="auto"/>
              <w:jc w:val="right"/>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97.60%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72" w:type="dxa"/>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2</w:t>
            </w:r>
          </w:p>
        </w:tc>
        <w:tc>
          <w:tcPr>
            <w:tcW w:w="3852"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中学省级骨干校长提高培训（30人，省内集中培训7天）</w:t>
            </w:r>
          </w:p>
        </w:tc>
        <w:tc>
          <w:tcPr>
            <w:tcW w:w="1572"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84000</w:t>
            </w:r>
          </w:p>
        </w:tc>
        <w:tc>
          <w:tcPr>
            <w:tcW w:w="1536"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75616.84</w:t>
            </w:r>
          </w:p>
        </w:tc>
        <w:tc>
          <w:tcPr>
            <w:tcW w:w="984" w:type="dxa"/>
            <w:noWrap w:val="0"/>
            <w:vAlign w:val="center"/>
          </w:tcPr>
          <w:p>
            <w:pPr>
              <w:keepNext w:val="0"/>
              <w:keepLines w:val="0"/>
              <w:widowControl/>
              <w:suppressLineNumbers w:val="0"/>
              <w:spacing w:line="360" w:lineRule="auto"/>
              <w:jc w:val="right"/>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90.02%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 w:hRule="atLeast"/>
          <w:jc w:val="center"/>
        </w:trPr>
        <w:tc>
          <w:tcPr>
            <w:tcW w:w="672" w:type="dxa"/>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3</w:t>
            </w:r>
          </w:p>
        </w:tc>
        <w:tc>
          <w:tcPr>
            <w:tcW w:w="3852"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中学卓越校长工作室项目（10个工作室）</w:t>
            </w:r>
          </w:p>
        </w:tc>
        <w:tc>
          <w:tcPr>
            <w:tcW w:w="1572"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650000</w:t>
            </w:r>
          </w:p>
        </w:tc>
        <w:tc>
          <w:tcPr>
            <w:tcW w:w="1536"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649826</w:t>
            </w:r>
          </w:p>
        </w:tc>
        <w:tc>
          <w:tcPr>
            <w:tcW w:w="984" w:type="dxa"/>
            <w:noWrap w:val="0"/>
            <w:vAlign w:val="center"/>
          </w:tcPr>
          <w:p>
            <w:pPr>
              <w:keepNext w:val="0"/>
              <w:keepLines w:val="0"/>
              <w:widowControl/>
              <w:suppressLineNumbers w:val="0"/>
              <w:spacing w:line="360" w:lineRule="auto"/>
              <w:jc w:val="right"/>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72" w:type="dxa"/>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4</w:t>
            </w:r>
          </w:p>
        </w:tc>
        <w:tc>
          <w:tcPr>
            <w:tcW w:w="3852"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中学卓越（领航）教师工作室项目（30个，其中2个教育部领航教师工作室、中学卓越班主任工作室5个）</w:t>
            </w:r>
          </w:p>
        </w:tc>
        <w:tc>
          <w:tcPr>
            <w:tcW w:w="1572"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1650000</w:t>
            </w:r>
          </w:p>
        </w:tc>
        <w:tc>
          <w:tcPr>
            <w:tcW w:w="1536"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1646278</w:t>
            </w:r>
          </w:p>
        </w:tc>
        <w:tc>
          <w:tcPr>
            <w:tcW w:w="984" w:type="dxa"/>
            <w:noWrap w:val="0"/>
            <w:vAlign w:val="center"/>
          </w:tcPr>
          <w:p>
            <w:pPr>
              <w:keepNext w:val="0"/>
              <w:keepLines w:val="0"/>
              <w:widowControl/>
              <w:suppressLineNumbers w:val="0"/>
              <w:spacing w:line="360" w:lineRule="auto"/>
              <w:jc w:val="right"/>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99.77%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72" w:type="dxa"/>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5</w:t>
            </w:r>
          </w:p>
        </w:tc>
        <w:tc>
          <w:tcPr>
            <w:tcW w:w="3852" w:type="dxa"/>
            <w:noWrap w:val="0"/>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中学英语骨干教师提高培训（40人，省外集中培训7天）</w:t>
            </w:r>
          </w:p>
        </w:tc>
        <w:tc>
          <w:tcPr>
            <w:tcW w:w="1572"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154000</w:t>
            </w:r>
          </w:p>
        </w:tc>
        <w:tc>
          <w:tcPr>
            <w:tcW w:w="1536" w:type="dxa"/>
            <w:noWrap/>
            <w:vAlign w:val="center"/>
          </w:tcPr>
          <w:p>
            <w:pPr>
              <w:keepNext w:val="0"/>
              <w:keepLines w:val="0"/>
              <w:widowControl/>
              <w:suppressLineNumbers w:val="0"/>
              <w:spacing w:line="360" w:lineRule="auto"/>
              <w:jc w:val="center"/>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153225</w:t>
            </w:r>
          </w:p>
        </w:tc>
        <w:tc>
          <w:tcPr>
            <w:tcW w:w="984" w:type="dxa"/>
            <w:noWrap w:val="0"/>
            <w:vAlign w:val="center"/>
          </w:tcPr>
          <w:p>
            <w:pPr>
              <w:keepNext w:val="0"/>
              <w:keepLines w:val="0"/>
              <w:widowControl/>
              <w:suppressLineNumbers w:val="0"/>
              <w:spacing w:line="360" w:lineRule="auto"/>
              <w:jc w:val="right"/>
              <w:textAlignment w:val="center"/>
              <w:rPr>
                <w:rFonts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99.50%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72" w:type="dxa"/>
            <w:noWrap w:val="0"/>
            <w:vAlign w:val="center"/>
          </w:tcPr>
          <w:p>
            <w:pPr>
              <w:widowControl/>
              <w:spacing w:line="360" w:lineRule="auto"/>
              <w:jc w:val="center"/>
              <w:textAlignment w:val="center"/>
              <w:rPr>
                <w:rFonts w:hint="eastAsia" w:ascii="宋体" w:hAnsi="宋体" w:eastAsia="宋体" w:cs="宋体"/>
                <w:bCs/>
                <w:kern w:val="21"/>
                <w:sz w:val="21"/>
                <w:szCs w:val="21"/>
                <w:lang w:val="en-US" w:eastAsia="zh-CN"/>
              </w:rPr>
            </w:pPr>
            <w:r>
              <w:rPr>
                <w:rFonts w:hint="eastAsia" w:ascii="宋体" w:hAnsi="宋体" w:eastAsia="宋体" w:cs="宋体"/>
                <w:bCs/>
                <w:kern w:val="21"/>
                <w:sz w:val="21"/>
                <w:szCs w:val="21"/>
                <w:lang w:val="en-US" w:eastAsia="zh-CN"/>
              </w:rPr>
              <w:t>6</w:t>
            </w:r>
          </w:p>
        </w:tc>
        <w:tc>
          <w:tcPr>
            <w:tcW w:w="3852"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海南省高中生涯教育教师能力提升专题培训（200人）</w:t>
            </w:r>
          </w:p>
        </w:tc>
        <w:tc>
          <w:tcPr>
            <w:tcW w:w="1572" w:type="dxa"/>
            <w:noWrap/>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320000</w:t>
            </w:r>
          </w:p>
        </w:tc>
        <w:tc>
          <w:tcPr>
            <w:tcW w:w="1536" w:type="dxa"/>
            <w:noWrap/>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190241.88</w:t>
            </w:r>
          </w:p>
        </w:tc>
        <w:tc>
          <w:tcPr>
            <w:tcW w:w="984" w:type="dxa"/>
            <w:noWrap w:val="0"/>
            <w:vAlign w:val="center"/>
          </w:tcPr>
          <w:p>
            <w:pPr>
              <w:keepNext w:val="0"/>
              <w:keepLines w:val="0"/>
              <w:widowControl/>
              <w:suppressLineNumbers w:val="0"/>
              <w:spacing w:line="360" w:lineRule="auto"/>
              <w:jc w:val="right"/>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59.45%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72" w:type="dxa"/>
            <w:noWrap w:val="0"/>
            <w:vAlign w:val="center"/>
          </w:tcPr>
          <w:p>
            <w:pPr>
              <w:widowControl/>
              <w:spacing w:line="360" w:lineRule="auto"/>
              <w:jc w:val="center"/>
              <w:textAlignment w:val="center"/>
              <w:rPr>
                <w:rFonts w:hint="eastAsia" w:ascii="宋体" w:hAnsi="宋体" w:eastAsia="宋体" w:cs="宋体"/>
                <w:bCs/>
                <w:kern w:val="21"/>
                <w:sz w:val="21"/>
                <w:szCs w:val="21"/>
                <w:lang w:val="en-US" w:eastAsia="zh-CN"/>
              </w:rPr>
            </w:pPr>
            <w:r>
              <w:rPr>
                <w:rFonts w:hint="eastAsia" w:ascii="宋体" w:hAnsi="宋体" w:eastAsia="宋体" w:cs="宋体"/>
                <w:bCs/>
                <w:kern w:val="21"/>
                <w:sz w:val="21"/>
                <w:szCs w:val="21"/>
                <w:lang w:val="en-US" w:eastAsia="zh-CN"/>
              </w:rPr>
              <w:t>7</w:t>
            </w:r>
          </w:p>
        </w:tc>
        <w:tc>
          <w:tcPr>
            <w:tcW w:w="3852"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教师教育改革与创新试验区教师综合能力提升培训(300人）</w:t>
            </w:r>
          </w:p>
        </w:tc>
        <w:tc>
          <w:tcPr>
            <w:tcW w:w="1572" w:type="dxa"/>
            <w:noWrap/>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360000</w:t>
            </w:r>
          </w:p>
        </w:tc>
        <w:tc>
          <w:tcPr>
            <w:tcW w:w="1536" w:type="dxa"/>
            <w:noWrap/>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327167</w:t>
            </w:r>
          </w:p>
        </w:tc>
        <w:tc>
          <w:tcPr>
            <w:tcW w:w="984" w:type="dxa"/>
            <w:noWrap w:val="0"/>
            <w:vAlign w:val="center"/>
          </w:tcPr>
          <w:p>
            <w:pPr>
              <w:keepNext w:val="0"/>
              <w:keepLines w:val="0"/>
              <w:widowControl/>
              <w:suppressLineNumbers w:val="0"/>
              <w:spacing w:line="360" w:lineRule="auto"/>
              <w:jc w:val="right"/>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90.88%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72" w:type="dxa"/>
            <w:noWrap w:val="0"/>
            <w:vAlign w:val="center"/>
          </w:tcPr>
          <w:p>
            <w:pPr>
              <w:widowControl/>
              <w:spacing w:line="360" w:lineRule="auto"/>
              <w:jc w:val="center"/>
              <w:textAlignment w:val="center"/>
              <w:rPr>
                <w:rFonts w:hint="default" w:ascii="宋体" w:hAnsi="宋体" w:eastAsia="宋体" w:cs="宋体"/>
                <w:bCs/>
                <w:kern w:val="21"/>
                <w:sz w:val="21"/>
                <w:szCs w:val="21"/>
                <w:lang w:val="en-US" w:eastAsia="zh-CN"/>
              </w:rPr>
            </w:pPr>
            <w:r>
              <w:rPr>
                <w:rFonts w:hint="eastAsia" w:ascii="宋体" w:hAnsi="宋体" w:eastAsia="宋体" w:cs="宋体"/>
                <w:bCs/>
                <w:kern w:val="21"/>
                <w:sz w:val="21"/>
                <w:szCs w:val="21"/>
                <w:lang w:val="en-US" w:eastAsia="zh-CN"/>
              </w:rPr>
              <w:t>8</w:t>
            </w:r>
          </w:p>
        </w:tc>
        <w:tc>
          <w:tcPr>
            <w:tcW w:w="3852"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海南省中小学英语教师新加坡研修人员工作站（2018年度、2019年度各1个站）</w:t>
            </w:r>
          </w:p>
        </w:tc>
        <w:tc>
          <w:tcPr>
            <w:tcW w:w="1572" w:type="dxa"/>
            <w:noWrap/>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120000</w:t>
            </w:r>
          </w:p>
        </w:tc>
        <w:tc>
          <w:tcPr>
            <w:tcW w:w="1536" w:type="dxa"/>
            <w:noWrap/>
            <w:vAlign w:val="center"/>
          </w:tcPr>
          <w:p>
            <w:pPr>
              <w:keepNext w:val="0"/>
              <w:keepLines w:val="0"/>
              <w:widowControl/>
              <w:suppressLineNumbers w:val="0"/>
              <w:spacing w:line="360" w:lineRule="auto"/>
              <w:jc w:val="center"/>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120000</w:t>
            </w:r>
          </w:p>
        </w:tc>
        <w:tc>
          <w:tcPr>
            <w:tcW w:w="984" w:type="dxa"/>
            <w:noWrap w:val="0"/>
            <w:vAlign w:val="center"/>
          </w:tcPr>
          <w:p>
            <w:pPr>
              <w:keepNext w:val="0"/>
              <w:keepLines w:val="0"/>
              <w:widowControl/>
              <w:suppressLineNumbers w:val="0"/>
              <w:spacing w:line="360" w:lineRule="auto"/>
              <w:jc w:val="right"/>
              <w:textAlignment w:val="center"/>
              <w:rPr>
                <w:rFonts w:hint="eastAsia" w:ascii="宋体" w:hAnsi="宋体" w:eastAsia="宋体" w:cs="宋体"/>
                <w:bCs/>
                <w:kern w:val="21"/>
                <w:sz w:val="21"/>
                <w:szCs w:val="21"/>
              </w:rPr>
            </w:pPr>
            <w:r>
              <w:rPr>
                <w:rFonts w:hint="eastAsia" w:ascii="宋体" w:hAnsi="宋体" w:eastAsia="宋体" w:cs="宋体"/>
                <w:i w:val="0"/>
                <w:color w:val="000000"/>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672" w:type="dxa"/>
            <w:noWrap w:val="0"/>
            <w:vAlign w:val="center"/>
          </w:tcPr>
          <w:p>
            <w:pPr>
              <w:widowControl/>
              <w:spacing w:line="360" w:lineRule="auto"/>
              <w:textAlignment w:val="center"/>
              <w:rPr>
                <w:rFonts w:hint="eastAsia" w:ascii="仿宋" w:hAnsi="仿宋" w:eastAsia="仿宋" w:cs="仿宋"/>
                <w:bCs/>
                <w:kern w:val="21"/>
                <w:sz w:val="21"/>
                <w:szCs w:val="21"/>
                <w:lang w:val="en-US" w:eastAsia="zh-CN"/>
              </w:rPr>
            </w:pPr>
            <w:r>
              <w:rPr>
                <w:rFonts w:hint="eastAsia" w:ascii="仿宋" w:hAnsi="仿宋" w:eastAsia="仿宋" w:cs="仿宋"/>
                <w:bCs/>
                <w:kern w:val="21"/>
                <w:sz w:val="21"/>
                <w:szCs w:val="21"/>
              </w:rPr>
              <w:t>　</w:t>
            </w:r>
          </w:p>
        </w:tc>
        <w:tc>
          <w:tcPr>
            <w:tcW w:w="3852" w:type="dxa"/>
            <w:noWrap w:val="0"/>
            <w:vAlign w:val="center"/>
          </w:tcPr>
          <w:p>
            <w:pPr>
              <w:widowControl/>
              <w:spacing w:line="360" w:lineRule="auto"/>
              <w:jc w:val="center"/>
              <w:textAlignment w:val="center"/>
              <w:rPr>
                <w:rFonts w:ascii="宋体" w:hAnsi="宋体" w:eastAsia="宋体" w:cs="宋体"/>
                <w:bCs/>
                <w:kern w:val="21"/>
                <w:sz w:val="21"/>
                <w:szCs w:val="21"/>
              </w:rPr>
            </w:pPr>
            <w:r>
              <w:rPr>
                <w:rFonts w:hint="eastAsia" w:ascii="宋体" w:hAnsi="宋体" w:eastAsia="宋体" w:cs="宋体"/>
                <w:bCs/>
                <w:kern w:val="21"/>
                <w:sz w:val="21"/>
                <w:szCs w:val="21"/>
              </w:rPr>
              <w:t>合 计</w:t>
            </w:r>
          </w:p>
        </w:tc>
        <w:tc>
          <w:tcPr>
            <w:tcW w:w="1572" w:type="dxa"/>
            <w:noWrap/>
            <w:vAlign w:val="center"/>
          </w:tcPr>
          <w:p>
            <w:pPr>
              <w:widowControl/>
              <w:spacing w:line="360" w:lineRule="auto"/>
              <w:jc w:val="right"/>
              <w:textAlignment w:val="center"/>
              <w:rPr>
                <w:rFonts w:ascii="宋体" w:hAnsi="宋体" w:eastAsia="宋体" w:cs="宋体"/>
                <w:bCs/>
                <w:kern w:val="21"/>
                <w:sz w:val="21"/>
                <w:szCs w:val="21"/>
              </w:rPr>
            </w:pPr>
            <w:r>
              <w:rPr>
                <w:rFonts w:hint="eastAsia" w:ascii="宋体" w:hAnsi="宋体" w:eastAsia="宋体" w:cs="宋体"/>
                <w:bCs/>
                <w:kern w:val="21"/>
                <w:sz w:val="21"/>
                <w:szCs w:val="21"/>
              </w:rPr>
              <w:t xml:space="preserve"> </w:t>
            </w:r>
            <w:r>
              <w:rPr>
                <w:rFonts w:hint="eastAsia" w:ascii="宋体" w:hAnsi="宋体" w:eastAsia="宋体" w:cs="宋体"/>
                <w:bCs/>
                <w:kern w:val="21"/>
                <w:sz w:val="21"/>
                <w:szCs w:val="21"/>
                <w:lang w:val="en-US" w:eastAsia="zh-CN"/>
              </w:rPr>
              <w:t>3861200</w:t>
            </w:r>
            <w:r>
              <w:rPr>
                <w:rFonts w:hint="eastAsia" w:ascii="宋体" w:hAnsi="宋体" w:eastAsia="宋体" w:cs="宋体"/>
                <w:bCs/>
                <w:kern w:val="21"/>
                <w:sz w:val="21"/>
                <w:szCs w:val="21"/>
              </w:rPr>
              <w:t xml:space="preserve"> </w:t>
            </w:r>
          </w:p>
        </w:tc>
        <w:tc>
          <w:tcPr>
            <w:tcW w:w="1536" w:type="dxa"/>
            <w:noWrap/>
            <w:vAlign w:val="center"/>
          </w:tcPr>
          <w:p>
            <w:pPr>
              <w:widowControl/>
              <w:spacing w:line="360" w:lineRule="auto"/>
              <w:jc w:val="right"/>
              <w:textAlignment w:val="center"/>
              <w:rPr>
                <w:rFonts w:ascii="宋体" w:hAnsi="宋体" w:eastAsia="宋体" w:cs="宋体"/>
                <w:bCs/>
                <w:kern w:val="21"/>
                <w:sz w:val="21"/>
                <w:szCs w:val="21"/>
              </w:rPr>
            </w:pPr>
            <w:r>
              <w:rPr>
                <w:rFonts w:hint="eastAsia" w:ascii="宋体" w:hAnsi="宋体" w:eastAsia="宋体" w:cs="宋体"/>
                <w:bCs/>
                <w:kern w:val="21"/>
                <w:sz w:val="21"/>
                <w:szCs w:val="21"/>
                <w:lang w:val="en-US" w:eastAsia="zh-CN"/>
              </w:rPr>
              <w:t>3673029.68</w:t>
            </w:r>
            <w:r>
              <w:rPr>
                <w:rFonts w:hint="eastAsia" w:ascii="宋体" w:hAnsi="宋体" w:eastAsia="宋体" w:cs="宋体"/>
                <w:bCs/>
                <w:kern w:val="21"/>
                <w:sz w:val="21"/>
                <w:szCs w:val="21"/>
              </w:rPr>
              <w:t xml:space="preserve">  </w:t>
            </w:r>
          </w:p>
        </w:tc>
        <w:tc>
          <w:tcPr>
            <w:tcW w:w="984" w:type="dxa"/>
            <w:noWrap w:val="0"/>
            <w:vAlign w:val="center"/>
          </w:tcPr>
          <w:p>
            <w:pPr>
              <w:widowControl/>
              <w:spacing w:line="360" w:lineRule="auto"/>
              <w:jc w:val="right"/>
              <w:textAlignment w:val="center"/>
              <w:rPr>
                <w:rFonts w:ascii="宋体" w:hAnsi="宋体" w:eastAsia="宋体" w:cs="宋体"/>
                <w:bCs/>
                <w:kern w:val="2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672" w:type="dxa"/>
            <w:noWrap w:val="0"/>
            <w:vAlign w:val="center"/>
          </w:tcPr>
          <w:p>
            <w:pPr>
              <w:widowControl/>
              <w:spacing w:line="360" w:lineRule="auto"/>
              <w:textAlignment w:val="center"/>
              <w:rPr>
                <w:rFonts w:ascii="仿宋" w:hAnsi="仿宋" w:eastAsia="仿宋" w:cs="仿宋"/>
                <w:bCs/>
                <w:kern w:val="21"/>
                <w:sz w:val="21"/>
                <w:szCs w:val="21"/>
              </w:rPr>
            </w:pPr>
          </w:p>
        </w:tc>
        <w:tc>
          <w:tcPr>
            <w:tcW w:w="3852" w:type="dxa"/>
            <w:noWrap w:val="0"/>
            <w:vAlign w:val="center"/>
          </w:tcPr>
          <w:p>
            <w:pPr>
              <w:widowControl/>
              <w:spacing w:line="360" w:lineRule="auto"/>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资金使用平均率</w:t>
            </w:r>
          </w:p>
        </w:tc>
        <w:tc>
          <w:tcPr>
            <w:tcW w:w="1572" w:type="dxa"/>
            <w:noWrap/>
            <w:vAlign w:val="center"/>
          </w:tcPr>
          <w:p>
            <w:pPr>
              <w:widowControl/>
              <w:spacing w:line="360" w:lineRule="auto"/>
              <w:jc w:val="left"/>
              <w:textAlignment w:val="center"/>
              <w:rPr>
                <w:rFonts w:ascii="宋体" w:hAnsi="宋体" w:eastAsia="宋体" w:cs="宋体"/>
                <w:bCs/>
                <w:kern w:val="21"/>
                <w:sz w:val="21"/>
                <w:szCs w:val="21"/>
              </w:rPr>
            </w:pPr>
            <w:r>
              <w:rPr>
                <w:rFonts w:hint="eastAsia" w:ascii="宋体" w:hAnsi="宋体" w:eastAsia="宋体" w:cs="宋体"/>
                <w:bCs/>
                <w:kern w:val="21"/>
                <w:sz w:val="21"/>
                <w:szCs w:val="21"/>
              </w:rPr>
              <w:t>　</w:t>
            </w:r>
          </w:p>
        </w:tc>
        <w:tc>
          <w:tcPr>
            <w:tcW w:w="1536" w:type="dxa"/>
            <w:noWrap/>
            <w:vAlign w:val="center"/>
          </w:tcPr>
          <w:p>
            <w:pPr>
              <w:widowControl/>
              <w:spacing w:line="360" w:lineRule="auto"/>
              <w:jc w:val="left"/>
              <w:textAlignment w:val="center"/>
              <w:rPr>
                <w:rFonts w:ascii="宋体" w:hAnsi="宋体" w:eastAsia="宋体" w:cs="宋体"/>
                <w:bCs/>
                <w:kern w:val="21"/>
                <w:sz w:val="21"/>
                <w:szCs w:val="21"/>
              </w:rPr>
            </w:pPr>
          </w:p>
        </w:tc>
        <w:tc>
          <w:tcPr>
            <w:tcW w:w="984" w:type="dxa"/>
            <w:noWrap w:val="0"/>
            <w:vAlign w:val="center"/>
          </w:tcPr>
          <w:p>
            <w:pPr>
              <w:widowControl/>
              <w:spacing w:line="360" w:lineRule="auto"/>
              <w:jc w:val="right"/>
              <w:textAlignment w:val="center"/>
              <w:rPr>
                <w:rFonts w:ascii="宋体" w:hAnsi="宋体" w:eastAsia="宋体" w:cs="宋体"/>
                <w:bCs/>
                <w:kern w:val="21"/>
                <w:sz w:val="21"/>
                <w:szCs w:val="21"/>
              </w:rPr>
            </w:pPr>
            <w:r>
              <w:rPr>
                <w:rFonts w:hint="eastAsia" w:ascii="宋体" w:hAnsi="宋体" w:eastAsia="宋体" w:cs="宋体"/>
                <w:bCs/>
                <w:kern w:val="21"/>
                <w:sz w:val="21"/>
                <w:szCs w:val="21"/>
                <w:lang w:val="en-US" w:eastAsia="zh-CN"/>
              </w:rPr>
              <w:t>95.13</w:t>
            </w:r>
            <w:r>
              <w:rPr>
                <w:rFonts w:hint="eastAsia" w:ascii="宋体" w:hAnsi="宋体" w:eastAsia="宋体" w:cs="宋体"/>
                <w:bCs/>
                <w:kern w:val="21"/>
                <w:sz w:val="21"/>
                <w:szCs w:val="21"/>
              </w:rPr>
              <w:t>%</w:t>
            </w:r>
          </w:p>
        </w:tc>
      </w:tr>
    </w:tbl>
    <w:p>
      <w:pPr>
        <w:pStyle w:val="2"/>
        <w:numPr>
          <w:ilvl w:val="0"/>
          <w:numId w:val="0"/>
        </w:numPr>
        <w:rPr>
          <w:rFonts w:hint="eastAsia"/>
        </w:rPr>
      </w:pPr>
    </w:p>
    <w:p>
      <w:pPr>
        <w:numPr>
          <w:ilvl w:val="0"/>
          <w:numId w:val="1"/>
        </w:numPr>
        <w:spacing w:line="530" w:lineRule="exact"/>
        <w:ind w:left="0" w:leftChars="0" w:firstLine="640" w:firstLineChars="200"/>
        <w:rPr>
          <w:rFonts w:hint="eastAsia" w:hAnsi="仿宋"/>
          <w:szCs w:val="32"/>
        </w:rPr>
      </w:pPr>
      <w:r>
        <w:rPr>
          <w:rFonts w:hint="eastAsia" w:hAnsi="仿宋"/>
          <w:szCs w:val="32"/>
        </w:rPr>
        <w:t>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项目预算与支出的标准严格按照《海南省财政厅、中共海南省委组织部、海南省人力资源和社会保障厅&lt;关于印发海南省直机关培训费管理办法&gt;》（琼财行【2017】442号）文中的相关规定和标准来执行。为保证项目资金科学规范使用，学校下发的《海南师范大学财务报账制度汇编》，对项目经费的立项、审批、报销都做出了详细的规定。在预算立项环节，科学、合理编制预算，经学校财务处、审计处等部门的核查与审计后方能立项实施。在经费支出时，实行层级严格审批制度，每一份报销单都经过包括经手人做账、分管领导审核、院领导审批、学校审计、财务复核、分管校领导签批等程序，合格才能报销。从而保证项目资金支出的规范、合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经自查，资金管理、费用支出等制度健全，并严格执行，会计核算规范。项目资金不存在支出依据不合规、虚列项目支出的情况；不存在截留、挤占、挪用项目资金情况，不存在超标准开支情况。</w:t>
      </w:r>
    </w:p>
    <w:p>
      <w:pPr>
        <w:spacing w:line="530" w:lineRule="exact"/>
        <w:ind w:firstLine="640" w:firstLineChars="200"/>
        <w:rPr>
          <w:rFonts w:hint="eastAsia" w:ascii="黑体" w:hAnsi="仿宋" w:eastAsia="黑体"/>
          <w:szCs w:val="32"/>
        </w:rPr>
      </w:pPr>
      <w:r>
        <w:rPr>
          <w:rFonts w:hint="eastAsia" w:ascii="黑体" w:hAnsi="仿宋" w:eastAsia="黑体"/>
          <w:szCs w:val="32"/>
        </w:rPr>
        <w:t>三、项目组织实施情况</w:t>
      </w:r>
    </w:p>
    <w:p>
      <w:pPr>
        <w:spacing w:line="530" w:lineRule="exact"/>
        <w:ind w:firstLine="640" w:firstLineChars="200"/>
        <w:rPr>
          <w:rFonts w:hint="eastAsia" w:hAnsi="仿宋"/>
          <w:szCs w:val="32"/>
        </w:rPr>
      </w:pPr>
      <w:r>
        <w:rPr>
          <w:rFonts w:hint="eastAsia" w:hAnsi="仿宋"/>
          <w:szCs w:val="32"/>
        </w:rPr>
        <w:t>（一）项目组织情况（包括项目招投标情况、调整情况、完成验收等）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根据《海南省教育厅关于下达2021年海南省中小学“好校长、好教师”培养工程项目任务清单的通知》的要求，我学院组织有关专家对项目进行研究、论证及调研，制定了项目申报书及实施方案，报送给海南省教育研究培训院，由该院组织专家对申报书进行评审，我学院再根据评审结果对项目实施方案进行修改、完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其中有部分项目需要组织参训校长、教师赴省外培训。为进一步规范培训项目的组织及实施，充分利用社会资源，提高培训质量，继续</w:t>
      </w:r>
      <w:r>
        <w:rPr>
          <w:rFonts w:hint="eastAsia" w:ascii="宋体" w:hAnsi="宋体" w:eastAsia="宋体" w:cs="宋体"/>
          <w:sz w:val="28"/>
          <w:szCs w:val="28"/>
          <w:lang w:eastAsia="zh-CN"/>
        </w:rPr>
        <w:t>教育</w:t>
      </w:r>
      <w:r>
        <w:rPr>
          <w:rFonts w:hint="eastAsia" w:ascii="宋体" w:hAnsi="宋体" w:eastAsia="宋体" w:cs="宋体"/>
          <w:sz w:val="28"/>
          <w:szCs w:val="28"/>
        </w:rPr>
        <w:t>学院将赴省外培训项目向社会进行邀标，经过发布邀标公告、递交邀标文件、资质审核、评标、公示等程序，最后确定由以下几家机构负责该部分培训的组织管理工作（见下表）：</w:t>
      </w:r>
    </w:p>
    <w:tbl>
      <w:tblPr>
        <w:tblStyle w:val="4"/>
        <w:tblW w:w="8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3830"/>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3" w:hRule="atLeast"/>
          <w:jc w:val="center"/>
        </w:trPr>
        <w:tc>
          <w:tcPr>
            <w:tcW w:w="843" w:type="dxa"/>
            <w:shd w:val="clear" w:color="auto" w:fill="D9D9D9"/>
            <w:tcMar>
              <w:top w:w="0" w:type="dxa"/>
              <w:left w:w="108" w:type="dxa"/>
              <w:bottom w:w="0" w:type="dxa"/>
              <w:right w:w="108" w:type="dxa"/>
            </w:tcMar>
            <w:vAlign w:val="center"/>
          </w:tcPr>
          <w:p>
            <w:pPr>
              <w:widowControl/>
              <w:spacing w:before="100" w:beforeAutospacing="1" w:after="100" w:afterAutospacing="1" w:line="500" w:lineRule="exact"/>
              <w:jc w:val="center"/>
              <w:rPr>
                <w:rFonts w:ascii="宋体" w:hAnsi="宋体" w:eastAsia="宋体" w:cs="宋体"/>
                <w:b/>
                <w:kern w:val="0"/>
                <w:sz w:val="28"/>
                <w:szCs w:val="28"/>
              </w:rPr>
            </w:pPr>
            <w:r>
              <w:rPr>
                <w:rFonts w:ascii="宋体" w:hAnsi="宋体" w:eastAsia="宋体" w:cs="宋体"/>
                <w:b/>
                <w:bCs/>
                <w:kern w:val="0"/>
                <w:sz w:val="28"/>
                <w:szCs w:val="28"/>
              </w:rPr>
              <w:t>包号</w:t>
            </w:r>
          </w:p>
        </w:tc>
        <w:tc>
          <w:tcPr>
            <w:tcW w:w="3830" w:type="dxa"/>
            <w:shd w:val="clear" w:color="auto" w:fill="D9D9D9"/>
            <w:tcMar>
              <w:top w:w="0" w:type="dxa"/>
              <w:left w:w="108" w:type="dxa"/>
              <w:bottom w:w="0" w:type="dxa"/>
              <w:right w:w="108" w:type="dxa"/>
            </w:tcMar>
            <w:vAlign w:val="center"/>
          </w:tcPr>
          <w:p>
            <w:pPr>
              <w:widowControl/>
              <w:spacing w:before="100" w:beforeAutospacing="1" w:after="100" w:afterAutospacing="1" w:line="500" w:lineRule="exact"/>
              <w:jc w:val="center"/>
              <w:rPr>
                <w:rFonts w:ascii="宋体" w:hAnsi="宋体" w:eastAsia="宋体" w:cs="宋体"/>
                <w:b/>
                <w:kern w:val="0"/>
                <w:sz w:val="28"/>
                <w:szCs w:val="28"/>
              </w:rPr>
            </w:pPr>
            <w:r>
              <w:rPr>
                <w:rFonts w:ascii="宋体" w:hAnsi="宋体" w:eastAsia="宋体" w:cs="宋体"/>
                <w:b/>
                <w:bCs/>
                <w:kern w:val="0"/>
                <w:sz w:val="28"/>
                <w:szCs w:val="28"/>
              </w:rPr>
              <w:t>名称</w:t>
            </w:r>
          </w:p>
        </w:tc>
        <w:tc>
          <w:tcPr>
            <w:tcW w:w="4111" w:type="dxa"/>
            <w:shd w:val="clear" w:color="auto" w:fill="D9D9D9"/>
            <w:tcMar>
              <w:top w:w="0" w:type="dxa"/>
              <w:left w:w="108" w:type="dxa"/>
              <w:bottom w:w="0" w:type="dxa"/>
              <w:right w:w="108" w:type="dxa"/>
            </w:tcMar>
            <w:vAlign w:val="center"/>
          </w:tcPr>
          <w:p>
            <w:pPr>
              <w:widowControl/>
              <w:spacing w:before="100" w:beforeAutospacing="1" w:after="100" w:afterAutospacing="1" w:line="500" w:lineRule="exact"/>
              <w:jc w:val="center"/>
              <w:rPr>
                <w:rFonts w:ascii="宋体" w:hAnsi="宋体" w:eastAsia="宋体" w:cs="宋体"/>
                <w:b/>
                <w:kern w:val="0"/>
                <w:sz w:val="28"/>
                <w:szCs w:val="28"/>
              </w:rPr>
            </w:pPr>
            <w:r>
              <w:rPr>
                <w:rFonts w:hint="eastAsia" w:ascii="宋体" w:hAnsi="宋体" w:eastAsia="宋体" w:cs="宋体"/>
                <w:b/>
                <w:kern w:val="0"/>
                <w:sz w:val="28"/>
                <w:szCs w:val="28"/>
              </w:rPr>
              <w:t>中标单位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5" w:hRule="atLeast"/>
          <w:jc w:val="center"/>
        </w:trPr>
        <w:tc>
          <w:tcPr>
            <w:tcW w:w="843" w:type="dxa"/>
            <w:shd w:val="clear" w:color="auto" w:fill="auto"/>
            <w:tcMar>
              <w:top w:w="0" w:type="dxa"/>
              <w:left w:w="108" w:type="dxa"/>
              <w:bottom w:w="0" w:type="dxa"/>
              <w:right w:w="108" w:type="dxa"/>
            </w:tcMar>
            <w:vAlign w:val="center"/>
          </w:tcPr>
          <w:p>
            <w:pPr>
              <w:widowControl/>
              <w:spacing w:before="100" w:beforeAutospacing="1" w:after="100" w:afterAutospacing="1" w:line="360" w:lineRule="auto"/>
              <w:jc w:val="center"/>
              <w:rPr>
                <w:rFonts w:ascii="宋体" w:hAnsi="宋体" w:eastAsia="宋体" w:cs="宋体"/>
                <w:kern w:val="0"/>
                <w:sz w:val="24"/>
                <w:szCs w:val="24"/>
              </w:rPr>
            </w:pPr>
            <w:r>
              <w:rPr>
                <w:rFonts w:ascii="宋体" w:hAnsi="宋体" w:eastAsia="宋体" w:cs="宋体"/>
                <w:bCs/>
                <w:kern w:val="0"/>
                <w:sz w:val="24"/>
                <w:szCs w:val="24"/>
              </w:rPr>
              <w:t>1</w:t>
            </w:r>
          </w:p>
        </w:tc>
        <w:tc>
          <w:tcPr>
            <w:tcW w:w="3830" w:type="dxa"/>
            <w:shd w:val="clear" w:color="auto" w:fill="auto"/>
            <w:tcMar>
              <w:top w:w="0" w:type="dxa"/>
              <w:left w:w="108" w:type="dxa"/>
              <w:bottom w:w="0" w:type="dxa"/>
              <w:right w:w="108" w:type="dxa"/>
            </w:tcMar>
            <w:vAlign w:val="center"/>
          </w:tcPr>
          <w:p>
            <w:pPr>
              <w:spacing w:line="360" w:lineRule="auto"/>
              <w:rPr>
                <w:rFonts w:ascii="宋体" w:hAnsi="宋体"/>
                <w:sz w:val="24"/>
                <w:szCs w:val="24"/>
              </w:rPr>
            </w:pPr>
            <w:r>
              <w:rPr>
                <w:rFonts w:hint="eastAsia" w:ascii="宋体" w:hAnsi="宋体" w:eastAsia="宋体" w:cs="宋体"/>
                <w:kern w:val="0"/>
                <w:sz w:val="24"/>
                <w:szCs w:val="24"/>
              </w:rPr>
              <w:t>海南省中学校长任职资格培训项目网络研修、</w:t>
            </w:r>
            <w:r>
              <w:rPr>
                <w:rFonts w:hint="eastAsia" w:ascii="宋体" w:hAnsi="宋体"/>
                <w:sz w:val="24"/>
                <w:szCs w:val="24"/>
              </w:rPr>
              <w:t>省外跟岗培训</w:t>
            </w:r>
          </w:p>
        </w:tc>
        <w:tc>
          <w:tcPr>
            <w:tcW w:w="4111" w:type="dxa"/>
            <w:shd w:val="clear" w:color="auto" w:fill="auto"/>
            <w:tcMar>
              <w:top w:w="0" w:type="dxa"/>
              <w:left w:w="108" w:type="dxa"/>
              <w:bottom w:w="0" w:type="dxa"/>
              <w:right w:w="108" w:type="dxa"/>
            </w:tcMar>
            <w:vAlign w:val="center"/>
          </w:tcPr>
          <w:p>
            <w:pPr>
              <w:widowControl/>
              <w:spacing w:line="360" w:lineRule="auto"/>
              <w:textAlignment w:val="center"/>
              <w:rPr>
                <w:rFonts w:ascii="等线" w:hAnsi="等线" w:eastAsia="等线" w:cs="等线"/>
                <w:color w:val="000000"/>
                <w:sz w:val="24"/>
                <w:szCs w:val="24"/>
              </w:rPr>
            </w:pPr>
            <w:r>
              <w:rPr>
                <w:rFonts w:hint="eastAsia" w:ascii="宋体" w:hAnsi="宋体" w:eastAsia="宋体" w:cs="宋体"/>
                <w:kern w:val="0"/>
                <w:sz w:val="24"/>
                <w:szCs w:val="24"/>
              </w:rPr>
              <w:t>北京百年树人远程教育有限公司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5" w:hRule="atLeast"/>
          <w:jc w:val="center"/>
        </w:trPr>
        <w:tc>
          <w:tcPr>
            <w:tcW w:w="843" w:type="dxa"/>
            <w:shd w:val="clear" w:color="auto" w:fill="auto"/>
            <w:tcMar>
              <w:top w:w="0" w:type="dxa"/>
              <w:left w:w="108" w:type="dxa"/>
              <w:bottom w:w="0" w:type="dxa"/>
              <w:right w:w="108" w:type="dxa"/>
            </w:tcMar>
            <w:vAlign w:val="center"/>
          </w:tcPr>
          <w:p>
            <w:pPr>
              <w:widowControl/>
              <w:spacing w:before="100" w:beforeAutospacing="1" w:after="100" w:afterAutospacing="1" w:line="36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30" w:type="dxa"/>
            <w:shd w:val="clear" w:color="auto" w:fill="auto"/>
            <w:tcMar>
              <w:top w:w="0" w:type="dxa"/>
              <w:left w:w="108" w:type="dxa"/>
              <w:bottom w:w="0" w:type="dxa"/>
              <w:right w:w="108" w:type="dxa"/>
            </w:tcMar>
            <w:vAlign w:val="center"/>
          </w:tcPr>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中学卓越校长工作室省外集中培训</w:t>
            </w:r>
          </w:p>
        </w:tc>
        <w:tc>
          <w:tcPr>
            <w:tcW w:w="4111" w:type="dxa"/>
            <w:shd w:val="clear" w:color="auto" w:fill="auto"/>
            <w:tcMar>
              <w:top w:w="0" w:type="dxa"/>
              <w:left w:w="108" w:type="dxa"/>
              <w:bottom w:w="0" w:type="dxa"/>
              <w:right w:w="108" w:type="dxa"/>
            </w:tcMar>
            <w:vAlign w:val="center"/>
          </w:tcPr>
          <w:p>
            <w:pPr>
              <w:widowControl/>
              <w:spacing w:line="360" w:lineRule="auto"/>
              <w:textAlignment w:val="center"/>
              <w:rPr>
                <w:rFonts w:ascii="宋体" w:hAnsi="宋体" w:eastAsia="宋体" w:cs="宋体"/>
                <w:color w:val="000000"/>
                <w:sz w:val="24"/>
                <w:szCs w:val="24"/>
              </w:rPr>
            </w:pPr>
            <w:r>
              <w:rPr>
                <w:rFonts w:hint="eastAsia" w:ascii="宋体" w:hAnsi="宋体" w:eastAsia="宋体" w:cs="宋体"/>
                <w:color w:val="000000"/>
                <w:sz w:val="24"/>
                <w:szCs w:val="24"/>
              </w:rPr>
              <w:t>海南省知行教育科学研究院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5" w:hRule="atLeast"/>
          <w:jc w:val="center"/>
        </w:trPr>
        <w:tc>
          <w:tcPr>
            <w:tcW w:w="843" w:type="dxa"/>
            <w:shd w:val="clear" w:color="auto" w:fill="auto"/>
            <w:tcMar>
              <w:top w:w="0" w:type="dxa"/>
              <w:left w:w="108" w:type="dxa"/>
              <w:bottom w:w="0" w:type="dxa"/>
              <w:right w:w="108" w:type="dxa"/>
            </w:tcMar>
            <w:vAlign w:val="center"/>
          </w:tcPr>
          <w:p>
            <w:pPr>
              <w:widowControl/>
              <w:spacing w:before="100" w:beforeAutospacing="1" w:after="100" w:afterAutospacing="1" w:line="360" w:lineRule="auto"/>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3830" w:type="dxa"/>
            <w:shd w:val="clear" w:color="auto" w:fill="auto"/>
            <w:tcMar>
              <w:top w:w="0" w:type="dxa"/>
              <w:left w:w="108" w:type="dxa"/>
              <w:bottom w:w="0" w:type="dxa"/>
              <w:right w:w="108" w:type="dxa"/>
            </w:tcMar>
            <w:vAlign w:val="center"/>
          </w:tcPr>
          <w:p>
            <w:pPr>
              <w:widowControl/>
              <w:spacing w:line="360" w:lineRule="auto"/>
              <w:jc w:val="left"/>
              <w:rPr>
                <w:rFonts w:ascii="宋体" w:hAnsi="宋体" w:eastAsia="宋体" w:cs="宋体"/>
                <w:kern w:val="0"/>
                <w:sz w:val="24"/>
                <w:szCs w:val="24"/>
              </w:rPr>
            </w:pPr>
            <w:r>
              <w:rPr>
                <w:rFonts w:hint="eastAsia" w:ascii="宋体" w:hAnsi="宋体" w:eastAsia="宋体" w:cs="宋体"/>
                <w:sz w:val="24"/>
                <w:szCs w:val="24"/>
              </w:rPr>
              <w:t>中学英语骨干教师提高培训</w:t>
            </w:r>
          </w:p>
        </w:tc>
        <w:tc>
          <w:tcPr>
            <w:tcW w:w="4111" w:type="dxa"/>
            <w:shd w:val="clear" w:color="auto" w:fill="auto"/>
            <w:tcMar>
              <w:top w:w="0" w:type="dxa"/>
              <w:left w:w="108" w:type="dxa"/>
              <w:bottom w:w="0" w:type="dxa"/>
              <w:right w:w="108" w:type="dxa"/>
            </w:tcMar>
            <w:vAlign w:val="center"/>
          </w:tcPr>
          <w:p>
            <w:pPr>
              <w:widowControl/>
              <w:spacing w:line="360" w:lineRule="auto"/>
              <w:jc w:val="left"/>
              <w:rPr>
                <w:rFonts w:ascii="等线" w:hAnsi="等线" w:eastAsia="等线" w:cs="等线"/>
                <w:color w:val="000000"/>
                <w:sz w:val="24"/>
                <w:szCs w:val="24"/>
              </w:rPr>
            </w:pPr>
            <w:r>
              <w:rPr>
                <w:rFonts w:hint="eastAsia" w:ascii="宋体" w:hAnsi="宋体" w:eastAsia="宋体" w:cs="宋体"/>
                <w:color w:val="000000"/>
                <w:kern w:val="0"/>
                <w:sz w:val="24"/>
                <w:szCs w:val="24"/>
                <w:lang w:bidi="ar"/>
              </w:rPr>
              <w:t>海南京海阳光教育科技有限公司</w:t>
            </w:r>
          </w:p>
        </w:tc>
      </w:tr>
    </w:tbl>
    <w:p>
      <w:pPr>
        <w:numPr>
          <w:ilvl w:val="0"/>
          <w:numId w:val="2"/>
        </w:numPr>
        <w:spacing w:line="530" w:lineRule="exact"/>
        <w:ind w:firstLine="640" w:firstLineChars="200"/>
        <w:rPr>
          <w:rFonts w:hint="eastAsia" w:hAnsi="仿宋"/>
          <w:szCs w:val="32"/>
        </w:rPr>
      </w:pPr>
      <w:r>
        <w:rPr>
          <w:rFonts w:hint="eastAsia" w:hAnsi="仿宋"/>
          <w:szCs w:val="32"/>
        </w:rPr>
        <w:t>项目管理情况（包括项目管理制度建设、日常检查监督等情况）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我学院制定了《中学校长教师培训项目管理制度》，严格按照管理制度以及项目的实施方案开展培训，严格做好培训过程中的考勤、日志、作业等管理，保证培训质量。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所有项目预算与支出的标准严格按照《海南省财政厅、中共海南省委组织部、海南省人力资源和社会保障厅&lt;关于印发海南省直机关培训费管理办法&gt;》（琼财行【2017】442号）文中的相关规定和标准来执行。校内报帐流程严格依据学校下发的《海南师范大学财务报账制度汇编》，科学、合理编制预算，经学校财务处、审计处等部门的核查与审计后立项实施，所有报销单据亦严格根据学校财务制度经财务、审计等部门核查审计、承办单位领导、学校主管领导签字认可后方可进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对于招标或委托培训项目，我学院与中标（委托）机构分别签订了项目协议书，项目结束后15个工作日内，根据实际培训人数、天数计算总费用</w:t>
      </w:r>
      <w:r>
        <w:rPr>
          <w:rFonts w:hint="eastAsia" w:ascii="宋体" w:hAnsi="宋体" w:eastAsia="宋体" w:cs="宋体"/>
          <w:sz w:val="28"/>
          <w:szCs w:val="28"/>
          <w:lang w:eastAsia="zh-CN"/>
        </w:rPr>
        <w:t>并支付</w:t>
      </w:r>
      <w:r>
        <w:rPr>
          <w:rFonts w:hint="eastAsia" w:ascii="宋体" w:hAnsi="宋体" w:eastAsia="宋体" w:cs="宋体"/>
          <w:sz w:val="28"/>
          <w:szCs w:val="28"/>
        </w:rPr>
        <w:t>。学院对整个委托培训过程全程进行严格监控管理，委托费用按实际培训人数和天数支付，无浪费，无违规。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由继续教育学院直接承办的各项目培训，均按既定培训方案严格进行，在经费支出时，实行层级严格审批制度，每一份报销单都经过包括经手人做账、分管领导审核、院领导审批、学校审计、财务复核、分管校领导签批等程序，合格才能报销。保证项目资金支出的规范、合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所有资金管理、费用支出等制度健全，并严格执行，会计核算规范。项目资金不存在支出依据不合规、虚列项目支出的情况；不存在截留、挤占、挪用项目资金情况，不存在超标准开支情况。</w:t>
      </w:r>
    </w:p>
    <w:p>
      <w:pPr>
        <w:spacing w:line="530" w:lineRule="exact"/>
        <w:ind w:firstLine="640" w:firstLineChars="200"/>
        <w:rPr>
          <w:rFonts w:hint="eastAsia" w:ascii="黑体" w:hAnsi="仿宋" w:eastAsia="黑体"/>
          <w:szCs w:val="32"/>
        </w:rPr>
      </w:pPr>
      <w:r>
        <w:rPr>
          <w:rFonts w:hint="eastAsia" w:ascii="黑体" w:hAnsi="仿宋" w:eastAsia="黑体"/>
          <w:szCs w:val="32"/>
        </w:rPr>
        <w:t>四、项目绩效情况</w:t>
      </w:r>
    </w:p>
    <w:p>
      <w:pPr>
        <w:spacing w:line="530" w:lineRule="exact"/>
        <w:ind w:firstLine="640" w:firstLineChars="200"/>
        <w:rPr>
          <w:rFonts w:hint="eastAsia" w:hAnsi="仿宋"/>
          <w:szCs w:val="32"/>
        </w:rPr>
      </w:pPr>
      <w:r>
        <w:rPr>
          <w:rFonts w:hint="eastAsia" w:hAnsi="仿宋"/>
          <w:szCs w:val="32"/>
        </w:rPr>
        <w:t>（一）项目绩效目标完成情况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 项目的经济性分析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（1）项目成本（预算）控制情况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省内集中培训严格按</w:t>
      </w:r>
      <w:r>
        <w:rPr>
          <w:rFonts w:hint="eastAsia" w:ascii="宋体" w:hAnsi="宋体" w:eastAsia="宋体" w:cs="宋体"/>
          <w:sz w:val="28"/>
          <w:szCs w:val="28"/>
          <w:lang w:val="en-US" w:eastAsia="zh-CN"/>
        </w:rPr>
        <w:t>400</w:t>
      </w:r>
      <w:r>
        <w:rPr>
          <w:rFonts w:hint="eastAsia" w:ascii="宋体" w:hAnsi="宋体" w:eastAsia="宋体" w:cs="宋体"/>
          <w:sz w:val="28"/>
          <w:szCs w:val="28"/>
        </w:rPr>
        <w:t>元/人/天进行，省外培训则按380-550元/人/天进行，严格按照《通知》所规定的标准执行。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（2）项目成本（预算）节约情况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由于校内无法提供适合培训食、宿条件，所以将培训安排在学校周边的酒店。为节省经费开支，我院通过组织公开招标来确定性价比较高的酒店，同时，</w:t>
      </w:r>
      <w:r>
        <w:rPr>
          <w:rFonts w:hint="eastAsia" w:ascii="宋体" w:hAnsi="宋体" w:eastAsia="宋体" w:cs="宋体"/>
          <w:sz w:val="28"/>
          <w:szCs w:val="28"/>
        </w:rPr>
        <w:t>在满足培训需要的前提下，尽量</w:t>
      </w:r>
      <w:r>
        <w:rPr>
          <w:rFonts w:hint="eastAsia" w:ascii="宋体" w:hAnsi="宋体" w:eastAsia="宋体" w:cs="宋体"/>
          <w:sz w:val="28"/>
          <w:szCs w:val="28"/>
          <w:lang w:eastAsia="zh-CN"/>
        </w:rPr>
        <w:t>从中标酒店中</w:t>
      </w:r>
      <w:r>
        <w:rPr>
          <w:rFonts w:hint="eastAsia" w:ascii="宋体" w:hAnsi="宋体" w:eastAsia="宋体" w:cs="宋体"/>
          <w:sz w:val="28"/>
          <w:szCs w:val="28"/>
        </w:rPr>
        <w:t>选择经济实惠的酒店安排学员食、宿及场地，每餐之前都确认实际用餐人数，</w:t>
      </w:r>
      <w:r>
        <w:rPr>
          <w:rFonts w:hint="eastAsia" w:ascii="宋体" w:hAnsi="宋体" w:eastAsia="宋体" w:cs="宋体"/>
          <w:sz w:val="28"/>
          <w:szCs w:val="28"/>
          <w:lang w:eastAsia="zh-CN"/>
        </w:rPr>
        <w:t>既避免了浪费也</w:t>
      </w:r>
      <w:r>
        <w:rPr>
          <w:rFonts w:hint="eastAsia" w:ascii="宋体" w:hAnsi="宋体" w:eastAsia="宋体" w:cs="宋体"/>
          <w:sz w:val="28"/>
          <w:szCs w:val="28"/>
        </w:rPr>
        <w:t>节省了部分培训经费。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 项目的效率性分析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（1）项目的实施进度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受新冠疫情的影响，今年项目开始实施时间比往年晚，</w:t>
      </w:r>
      <w:r>
        <w:rPr>
          <w:rFonts w:hint="eastAsia" w:ascii="宋体" w:hAnsi="宋体" w:eastAsia="宋体" w:cs="宋体"/>
          <w:sz w:val="28"/>
          <w:szCs w:val="28"/>
          <w:lang w:eastAsia="zh-CN"/>
        </w:rPr>
        <w:t>除了中学省级教师和省级学科带头人因为没有遴选出来而没有实施培训以外，其他项目</w:t>
      </w:r>
      <w:r>
        <w:rPr>
          <w:rFonts w:hint="eastAsia" w:ascii="宋体" w:hAnsi="宋体" w:eastAsia="宋体" w:cs="宋体"/>
          <w:sz w:val="28"/>
          <w:szCs w:val="28"/>
        </w:rPr>
        <w:t>仍然按预先制定的计划和进度完成了所有的培训活动。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（2）项目完成质量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培训前期开展详细的调研分析，精准把握培训需要；聘请省内外优秀的高校专家、一线优秀中小学校长及教师、优秀教研员担任授课教师，保证课堂培训效果；加强培训的考核，督促学员按要求完成培训作业；培训期间做好个性化服务，做好学员的食宿安排、交通安排及生活安排；训后组织专家开展跟踪指导，帮助学员内化学习知识和技能，提高教育教学水平。经调研，学员对培训课程的安排、师资力量、管理及服务、食宿安排等方面的满意度都达到90%以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 项目的效益性分析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（1）项目预期目标完成程度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所有项目都按照项目方案开展，培训时间（学时）100%完成，培训内容严格按照审定的方案设置。所有参训学员都能够按照培训要求完成了培训任务，取得了培训合格证。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（2）项目实施对经济和社会的影响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为高质量推动我省校长教师队伍建设，为海南自贸港建设提供智力支持，按照2021年省政府工作报告关于“引进和培养好校长好教师5000名以上”的要求，我省继续实施海南省中小学“好校长、好教师”培养工程，并根据校长、教师成长成才规律和不同阶段需求，搭建“好校长、好教师”专业成长梯队，2021年度按计划对中学校长、教师展开省级示范性培训</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我院根据培训对象的特殊性，精心设计培训实施方案，充分利用省内外优质培训资源组织高质量的培训活动：组织学员到省外开展集中研修、高端访学及交流；设立校长</w:t>
      </w:r>
      <w:r>
        <w:rPr>
          <w:rFonts w:hint="eastAsia" w:ascii="宋体" w:hAnsi="宋体" w:eastAsia="宋体" w:cs="宋体"/>
          <w:sz w:val="28"/>
          <w:szCs w:val="28"/>
          <w:lang w:eastAsia="zh-CN"/>
        </w:rPr>
        <w:t>、教师</w:t>
      </w:r>
      <w:r>
        <w:rPr>
          <w:rFonts w:hint="eastAsia" w:ascii="宋体" w:hAnsi="宋体" w:eastAsia="宋体" w:cs="宋体"/>
          <w:sz w:val="28"/>
          <w:szCs w:val="28"/>
        </w:rPr>
        <w:t>工作室，发挥其示范引领作用，帮扶农村薄弱学校的发展。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该项目在促进校长教师专业发展的同时，更大发挥示范引领作用。并通过搭建本市县卓越校长、卓越教师工作室等方式，支持校长教师发挥示范引领作用，实现优秀教育人才“引得来，留得住，用得好”的目标，为海南自贸港建设创造一流营商环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 项目的可持续性分析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为加快我省基础教育供给侧结构性改革步伐，落实好教育优先发展战略和人才强省战略，</w:t>
      </w:r>
      <w:r>
        <w:rPr>
          <w:rFonts w:hint="eastAsia" w:ascii="宋体" w:hAnsi="宋体" w:eastAsia="宋体" w:cs="宋体"/>
          <w:sz w:val="28"/>
          <w:szCs w:val="28"/>
          <w:lang w:eastAsia="zh-CN"/>
        </w:rPr>
        <w:t>海南省教育厅从</w:t>
      </w:r>
      <w:r>
        <w:rPr>
          <w:rFonts w:hint="eastAsia" w:ascii="宋体" w:hAnsi="宋体" w:eastAsia="宋体" w:cs="宋体"/>
          <w:sz w:val="28"/>
          <w:szCs w:val="28"/>
          <w:lang w:val="en-US" w:eastAsia="zh-CN"/>
        </w:rPr>
        <w:t>2015年开始实施“好校长好教师”培训工程，</w:t>
      </w:r>
      <w:r>
        <w:rPr>
          <w:rFonts w:hint="eastAsia" w:ascii="宋体" w:hAnsi="宋体" w:eastAsia="宋体" w:cs="宋体"/>
          <w:sz w:val="28"/>
          <w:szCs w:val="28"/>
        </w:rPr>
        <w:t>被省委、省政府列为重点工程或为民办实事项目。通过建立健全</w:t>
      </w:r>
      <w:r>
        <w:rPr>
          <w:rFonts w:hint="eastAsia" w:ascii="宋体" w:hAnsi="宋体" w:eastAsia="宋体" w:cs="宋体"/>
          <w:sz w:val="28"/>
          <w:szCs w:val="28"/>
          <w:lang w:eastAsia="zh-CN"/>
        </w:rPr>
        <w:t>校长、</w:t>
      </w:r>
      <w:r>
        <w:rPr>
          <w:rFonts w:hint="eastAsia" w:ascii="宋体" w:hAnsi="宋体" w:eastAsia="宋体" w:cs="宋体"/>
          <w:sz w:val="28"/>
          <w:szCs w:val="28"/>
        </w:rPr>
        <w:t>教师专业成长梯队，坚持培养培训与使用相结合，充分发挥</w:t>
      </w:r>
      <w:r>
        <w:rPr>
          <w:rFonts w:hint="eastAsia" w:ascii="宋体" w:hAnsi="宋体" w:eastAsia="宋体" w:cs="宋体"/>
          <w:sz w:val="28"/>
          <w:szCs w:val="28"/>
          <w:lang w:eastAsia="zh-CN"/>
        </w:rPr>
        <w:t>优秀校长、教师</w:t>
      </w:r>
      <w:r>
        <w:rPr>
          <w:rFonts w:hint="eastAsia" w:ascii="宋体" w:hAnsi="宋体" w:eastAsia="宋体" w:cs="宋体"/>
          <w:sz w:val="28"/>
          <w:szCs w:val="28"/>
        </w:rPr>
        <w:t>的示范、引领、辐射作用。该项目必将长期作为省政府、省教育厅教师培养工程重点项目，将在有关政策、资金等方面给予重点支持。</w:t>
      </w:r>
    </w:p>
    <w:p>
      <w:pPr>
        <w:numPr>
          <w:ilvl w:val="0"/>
          <w:numId w:val="0"/>
        </w:numPr>
        <w:spacing w:line="530" w:lineRule="exact"/>
        <w:ind w:leftChars="200"/>
        <w:rPr>
          <w:rFonts w:hint="eastAsia" w:hAnsi="仿宋"/>
          <w:szCs w:val="32"/>
        </w:rPr>
      </w:pPr>
      <w:r>
        <w:rPr>
          <w:rFonts w:hint="eastAsia" w:hAnsi="仿宋"/>
          <w:szCs w:val="32"/>
          <w:lang w:eastAsia="zh-CN"/>
        </w:rPr>
        <w:t>（二）</w:t>
      </w:r>
      <w:r>
        <w:rPr>
          <w:rFonts w:hint="eastAsia" w:hAnsi="仿宋"/>
          <w:szCs w:val="32"/>
        </w:rPr>
        <w:t>项目绩效目标未完成情况及原因分析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2021－2023年中学省级骨干教师培训（450人，集中培训5天、网络研修80学时）</w:t>
      </w:r>
      <w:r>
        <w:rPr>
          <w:rFonts w:hint="eastAsia" w:ascii="宋体" w:hAnsi="宋体" w:eastAsia="宋体" w:cs="宋体"/>
          <w:sz w:val="28"/>
          <w:szCs w:val="28"/>
          <w:lang w:eastAsia="zh-CN"/>
        </w:rPr>
        <w:t>、2021-2023年中学省级学科带头人培训（90人，省内集中培训6天，网络研修80学时），这两个项目由于省教育厅未将</w:t>
      </w:r>
      <w:r>
        <w:rPr>
          <w:rFonts w:hint="eastAsia" w:ascii="宋体" w:hAnsi="宋体" w:eastAsia="宋体" w:cs="宋体"/>
          <w:sz w:val="28"/>
          <w:szCs w:val="28"/>
        </w:rPr>
        <w:t>中学省级骨干教师</w:t>
      </w:r>
      <w:r>
        <w:rPr>
          <w:rFonts w:hint="eastAsia" w:ascii="宋体" w:hAnsi="宋体" w:eastAsia="宋体" w:cs="宋体"/>
          <w:sz w:val="28"/>
          <w:szCs w:val="28"/>
          <w:lang w:eastAsia="zh-CN"/>
        </w:rPr>
        <w:t>、中学省级学科带头人遴选出来，因没有培训对象，所以没有实施。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其它项目都完成了培训目标。</w:t>
      </w:r>
    </w:p>
    <w:p>
      <w:pPr>
        <w:spacing w:line="530" w:lineRule="exact"/>
        <w:ind w:firstLine="640" w:firstLineChars="200"/>
        <w:rPr>
          <w:rFonts w:hint="eastAsia" w:ascii="黑体" w:hAnsi="仿宋" w:eastAsia="黑体"/>
          <w:szCs w:val="32"/>
        </w:rPr>
      </w:pPr>
      <w:r>
        <w:rPr>
          <w:rFonts w:hint="eastAsia" w:ascii="黑体" w:hAnsi="仿宋" w:eastAsia="黑体"/>
          <w:szCs w:val="32"/>
        </w:rPr>
        <w:t>五、其他需要说明的问题</w:t>
      </w:r>
    </w:p>
    <w:p>
      <w:pPr>
        <w:spacing w:line="530" w:lineRule="exact"/>
        <w:ind w:firstLine="640" w:firstLineChars="200"/>
        <w:rPr>
          <w:rFonts w:hint="eastAsia" w:hAnsi="仿宋"/>
          <w:szCs w:val="32"/>
        </w:rPr>
      </w:pPr>
      <w:r>
        <w:rPr>
          <w:rFonts w:hint="eastAsia" w:hAnsi="仿宋"/>
          <w:szCs w:val="32"/>
        </w:rPr>
        <w:t>（一）后续工作计划</w:t>
      </w:r>
    </w:p>
    <w:p>
      <w:pPr>
        <w:pStyle w:val="2"/>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作为服务于海南基础教育，打造品德高尚、专业基础扎实、教育教学能力和自我发展能力强的省级骨干教师队伍的教师培训项目，该项目的平稳、顺利实施得益于海南省委、省政府经济上大力资助、政策上重点倾斜；得益于学校精心统筹，并充分发挥在教师教育方面的专业和师资优势；更得益于政府主导、大学主体以及社会培训机构资源的充分利用等多方协作的机制保障。项目受益面为全省中学校长、教师，受到了全省中学校长教师的极大欢迎，也丰富了海南师范大学培养培训一体化的培养经验。</w:t>
      </w:r>
    </w:p>
    <w:p>
      <w:pPr>
        <w:spacing w:line="530" w:lineRule="exact"/>
        <w:ind w:firstLine="640" w:firstLineChars="200"/>
        <w:rPr>
          <w:rFonts w:hint="eastAsia" w:hAnsi="仿宋"/>
          <w:szCs w:val="32"/>
        </w:rPr>
      </w:pPr>
      <w:r>
        <w:rPr>
          <w:rFonts w:hint="eastAsia" w:hAnsi="仿宋"/>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主要做法及经验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认真调研，精心设计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培训前，我们通过网络问卷、现场座谈、市县反馈调研的方式，针对这一群体参训校长和老师进行了需求调研。在对培训对象进行个人基本信息收集的基础上，全面了解参训教师希望的培训内容、希望提高的专业能力、迫切需要解决的问题、感兴趣的师资队伍和培训方式等信息进行了深入的了解，建立教师的个人化的实然需求信息库，关注个体差异，并注重分析培训群体，求同存异。以此为基础，结合各子项目的应然需求，科学制定培训的主题和目标、设计课程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科学管理，人文服务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由于培训管理涉及学员学习、生活的方方面面，我们根据多年培训工作经验，形成了一套成熟的管理模式，重点抓计划、教学、实践、生活等几个重要环节进行管理，条分缕析，科学高效。建章立制，明确培训纪律，使培训管理工作更加具体化。组建班委，落实各班委名单，与每班的班委时时保持联系，及时了解各班的学习进展、学员思想动态、班级活动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以人为本，温情服务。学员报到前，短信告知学员具体的报到地址，天气情况，注意事项等。培训中，不时提醒学员注意上课时间、地点等。培训期间，我们创建QQ群、微信群，及时传达、交流学习生活讯息。我们多次召开班委、学员座谈会，认真听取学员所反映的问题和意见，及时改进服务工作，实现服务改进动态化、即时化，努力为学员创造一个良好的学习和生活环境。高度关注学员对培训课程安排的意见和建议，并做出及时回应，采取适当措施加以调整，把课程实施过程作为一个调适与创生的过程，满足学员的学习需求，从而确保培训的实效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主题式培训有效提升校长、教师专业发展水平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所有子项目聚焦于本项目培训方案所定主题，通过主题式专题讲座、主题现场研讨、主题式跟岗研修、主题式网络研修、主题式指导帮扶，做到“学、做、研”逐步深化，有效提升学校管理能力及课堂教学质量，提高个人专业素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秉持培训和使用相结合的原则，发挥学员的“双主体”作用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学员既是学习的主体，又是区域辐射的主体。学员都是省外引进的优秀校长、教师，为中学校长、教师队伍中的佼佼者，一些校长、教师成为省级骨干校长、省级学科带头人或省级骨干教师，一些校长、教师成为中学卓越校长工作室主持人、中学卓越教师工作室主持人，他们在培训中通过送课、送教、送讲座、师带徒、帮扶薄弱校等方式，发挥他们在本地区在办学治校、教学教研、教师培训等方面的示范引领作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存在问题和建议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
        </w:rPr>
      </w:pPr>
      <w:r>
        <w:rPr>
          <w:rFonts w:hint="eastAsia" w:ascii="宋体" w:hAnsi="宋体" w:eastAsia="宋体" w:cs="宋体"/>
          <w:sz w:val="28"/>
          <w:szCs w:val="28"/>
          <w:lang w:val="en"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val="en" w:eastAsia="zh-CN"/>
        </w:rPr>
        <w:t>）</w:t>
      </w:r>
      <w:r>
        <w:rPr>
          <w:rFonts w:hint="eastAsia" w:ascii="宋体" w:hAnsi="宋体" w:eastAsia="宋体" w:cs="宋体"/>
          <w:sz w:val="28"/>
          <w:szCs w:val="28"/>
          <w:lang w:val="en"/>
        </w:rPr>
        <w:t>训后跟踪指导有待加强。培训活动结束之后，应开展训后跟踪指导，了解学员对培训的收获、意见或建议，帮助学员解决实践应用中遇到的问题及困难。但是项目的资金、时间安排并没有考虑到训后跟踪指导这个环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应加强培训资源的共建、共享。培训资源既要借助省外的优质资源，也要注重开发省内的优秀资源，充分挖掘本省、区域内符合我省或当地实际情况的培训资源，加强资源的共享及人员的交流学习，提升培训的针对性和实效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9B454C"/>
    <w:multiLevelType w:val="singleLevel"/>
    <w:tmpl w:val="BE9B454C"/>
    <w:lvl w:ilvl="0" w:tentative="0">
      <w:start w:val="3"/>
      <w:numFmt w:val="chineseCounting"/>
      <w:suff w:val="nothing"/>
      <w:lvlText w:val="（%1）"/>
      <w:lvlJc w:val="left"/>
      <w:rPr>
        <w:rFonts w:hint="eastAsia"/>
      </w:rPr>
    </w:lvl>
  </w:abstractNum>
  <w:abstractNum w:abstractNumId="1">
    <w:nsid w:val="4B807680"/>
    <w:multiLevelType w:val="singleLevel"/>
    <w:tmpl w:val="4B80768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A52901"/>
    <w:rsid w:val="01A52901"/>
    <w:rsid w:val="08924FA8"/>
    <w:rsid w:val="09645C5A"/>
    <w:rsid w:val="0AD3328B"/>
    <w:rsid w:val="36206A1C"/>
    <w:rsid w:val="36291DF2"/>
    <w:rsid w:val="49286191"/>
    <w:rsid w:val="4BF63604"/>
    <w:rsid w:val="4E875C78"/>
    <w:rsid w:val="4E8F2108"/>
    <w:rsid w:val="5BE80052"/>
    <w:rsid w:val="64443B34"/>
    <w:rsid w:val="689E5B67"/>
    <w:rsid w:val="70500472"/>
    <w:rsid w:val="75093038"/>
    <w:rsid w:val="77F41F3A"/>
    <w:rsid w:val="79F905B7"/>
    <w:rsid w:val="7DBD19AE"/>
    <w:rsid w:val="9D4B5CFF"/>
    <w:rsid w:val="BA7B23C6"/>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rPr>
      <w:szCs w:val="22"/>
    </w:rPr>
  </w:style>
  <w:style w:type="paragraph" w:styleId="5">
    <w:name w:val="List Paragraph"/>
    <w:basedOn w:val="1"/>
    <w:qFormat/>
    <w:uiPriority w:val="0"/>
    <w:pPr>
      <w:spacing w:line="360" w:lineRule="auto"/>
      <w:ind w:firstLine="200" w:firstLineChars="200"/>
    </w:pPr>
    <w:rPr>
      <w:rFonts w:ascii="Calibri" w:hAnsi="Calibri" w:eastAsia="宋体"/>
      <w:sz w:val="2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2022-06-02T15:43:00Z</dcterms:created>
  <dc:creator>渔人</dc:creator>
  <cp:lastModifiedBy>hp</cp:lastModifiedBy>
  <dcterms:modified xsi:type="dcterms:W3CDTF">2022-06-17T08:11:47Z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